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761" w:rsidRDefault="00995761">
      <w:pPr>
        <w:jc w:val="center"/>
        <w:rPr>
          <w:sz w:val="2"/>
        </w:rPr>
      </w:pPr>
      <w:bookmarkStart w:id="0" w:name="_GoBack"/>
      <w:bookmarkEnd w:id="0"/>
    </w:p>
    <w:p w:rsidR="00995761" w:rsidRDefault="00995761">
      <w:pPr>
        <w:rPr>
          <w:sz w:val="18"/>
        </w:rPr>
      </w:pPr>
    </w:p>
    <w:p w:rsidR="00995761" w:rsidRDefault="00995761">
      <w:r>
        <w:tab/>
      </w:r>
      <w:r>
        <w:tab/>
      </w:r>
      <w:r>
        <w:tab/>
      </w:r>
      <w:r>
        <w:tab/>
      </w:r>
    </w:p>
    <w:p w:rsidR="00995761" w:rsidRDefault="00B53A05">
      <w:r>
        <w:rPr>
          <w:noProof/>
          <w:lang w:val="en-GB" w:eastAsia="en-GB"/>
        </w:rPr>
        <w:drawing>
          <wp:inline distT="0" distB="0" distL="0" distR="0" wp14:anchorId="5E4DD749" wp14:editId="6B48FF22">
            <wp:extent cx="4238625" cy="10668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8625" cy="1066800"/>
                    </a:xfrm>
                    <a:prstGeom prst="rect">
                      <a:avLst/>
                    </a:prstGeom>
                    <a:noFill/>
                    <a:ln>
                      <a:noFill/>
                    </a:ln>
                  </pic:spPr>
                </pic:pic>
              </a:graphicData>
            </a:graphic>
          </wp:inline>
        </w:drawing>
      </w:r>
    </w:p>
    <w:p w:rsidR="00B53A05" w:rsidRDefault="00B53A05"/>
    <w:p w:rsidR="00B53A05" w:rsidRDefault="00B53A05"/>
    <w:p w:rsidR="00995761" w:rsidRDefault="00995761">
      <w:pPr>
        <w:rPr>
          <w:sz w:val="18"/>
        </w:rPr>
      </w:pPr>
    </w:p>
    <w:p w:rsidR="00E96392" w:rsidRPr="00D41808" w:rsidRDefault="007B2AA6" w:rsidP="007B2AA6">
      <w:pPr>
        <w:pStyle w:val="Header"/>
        <w:tabs>
          <w:tab w:val="clear" w:pos="4153"/>
          <w:tab w:val="clear" w:pos="8306"/>
        </w:tabs>
        <w:jc w:val="center"/>
        <w:rPr>
          <w:b/>
          <w:sz w:val="36"/>
          <w:szCs w:val="36"/>
        </w:rPr>
      </w:pPr>
      <w:r w:rsidRPr="00D41808">
        <w:rPr>
          <w:b/>
          <w:sz w:val="36"/>
          <w:szCs w:val="36"/>
        </w:rPr>
        <w:t>Public Health Commissioning Strategy</w:t>
      </w:r>
      <w:r w:rsidR="00051A2B" w:rsidRPr="00D41808">
        <w:rPr>
          <w:b/>
          <w:sz w:val="36"/>
          <w:szCs w:val="36"/>
        </w:rPr>
        <w:t xml:space="preserve">: </w:t>
      </w:r>
    </w:p>
    <w:p w:rsidR="00995761" w:rsidRPr="00D41808" w:rsidRDefault="00051A2B" w:rsidP="007B2AA6">
      <w:pPr>
        <w:pStyle w:val="Header"/>
        <w:tabs>
          <w:tab w:val="clear" w:pos="4153"/>
          <w:tab w:val="clear" w:pos="8306"/>
        </w:tabs>
        <w:jc w:val="center"/>
        <w:rPr>
          <w:b/>
          <w:sz w:val="36"/>
          <w:szCs w:val="36"/>
        </w:rPr>
      </w:pPr>
      <w:r w:rsidRPr="00D41808">
        <w:rPr>
          <w:b/>
          <w:sz w:val="36"/>
          <w:szCs w:val="36"/>
        </w:rPr>
        <w:t>201</w:t>
      </w:r>
      <w:r w:rsidR="00317A29" w:rsidRPr="00D41808">
        <w:rPr>
          <w:b/>
          <w:sz w:val="36"/>
          <w:szCs w:val="36"/>
        </w:rPr>
        <w:t>7/1</w:t>
      </w:r>
      <w:r w:rsidR="00E96392" w:rsidRPr="00D41808">
        <w:rPr>
          <w:b/>
          <w:sz w:val="36"/>
          <w:szCs w:val="36"/>
        </w:rPr>
        <w:t>8</w:t>
      </w:r>
      <w:r w:rsidR="00317A29" w:rsidRPr="00D41808">
        <w:rPr>
          <w:b/>
          <w:sz w:val="36"/>
          <w:szCs w:val="36"/>
        </w:rPr>
        <w:t xml:space="preserve"> </w:t>
      </w:r>
      <w:r w:rsidRPr="00D41808">
        <w:rPr>
          <w:b/>
          <w:sz w:val="36"/>
          <w:szCs w:val="36"/>
        </w:rPr>
        <w:t>to 202</w:t>
      </w:r>
      <w:r w:rsidR="00D37713" w:rsidRPr="00D41808">
        <w:rPr>
          <w:b/>
          <w:sz w:val="36"/>
          <w:szCs w:val="36"/>
        </w:rPr>
        <w:t>0</w:t>
      </w:r>
      <w:r w:rsidRPr="00D41808">
        <w:rPr>
          <w:b/>
          <w:sz w:val="36"/>
          <w:szCs w:val="36"/>
        </w:rPr>
        <w:t>/2</w:t>
      </w:r>
      <w:r w:rsidR="00D37713" w:rsidRPr="00D41808">
        <w:rPr>
          <w:b/>
          <w:sz w:val="36"/>
          <w:szCs w:val="36"/>
        </w:rPr>
        <w:t>1</w:t>
      </w:r>
    </w:p>
    <w:p w:rsidR="00995761" w:rsidRDefault="00995761"/>
    <w:p w:rsidR="002D5734" w:rsidRDefault="002D5734" w:rsidP="002749E0">
      <w:pPr>
        <w:jc w:val="center"/>
        <w:rPr>
          <w:b/>
          <w:sz w:val="28"/>
          <w:szCs w:val="28"/>
        </w:rPr>
      </w:pPr>
    </w:p>
    <w:p w:rsidR="002D5734" w:rsidRDefault="002D5734" w:rsidP="002D5734">
      <w:pPr>
        <w:rPr>
          <w:b/>
          <w:i/>
          <w:sz w:val="28"/>
          <w:szCs w:val="28"/>
        </w:rPr>
      </w:pPr>
    </w:p>
    <w:p w:rsidR="002D5734" w:rsidRDefault="002D5734" w:rsidP="002D5734">
      <w:pPr>
        <w:rPr>
          <w:b/>
          <w:i/>
          <w:sz w:val="28"/>
          <w:szCs w:val="28"/>
        </w:rPr>
      </w:pPr>
    </w:p>
    <w:p w:rsidR="002D5734" w:rsidRDefault="002D5734" w:rsidP="002D5734">
      <w:pPr>
        <w:rPr>
          <w:b/>
          <w:i/>
          <w:sz w:val="28"/>
          <w:szCs w:val="28"/>
        </w:rPr>
      </w:pPr>
    </w:p>
    <w:p w:rsidR="002D5734" w:rsidRDefault="002D5734" w:rsidP="002D5734">
      <w:pPr>
        <w:rPr>
          <w:b/>
          <w:sz w:val="28"/>
          <w:szCs w:val="28"/>
        </w:rPr>
      </w:pPr>
    </w:p>
    <w:p w:rsidR="002D5734" w:rsidRDefault="002D5734" w:rsidP="002749E0">
      <w:pPr>
        <w:jc w:val="center"/>
        <w:rPr>
          <w:b/>
          <w:sz w:val="28"/>
          <w:szCs w:val="28"/>
        </w:rPr>
      </w:pPr>
    </w:p>
    <w:p w:rsidR="002D5734" w:rsidRDefault="002D5734" w:rsidP="002749E0">
      <w:pPr>
        <w:jc w:val="center"/>
        <w:rPr>
          <w:b/>
          <w:sz w:val="28"/>
          <w:szCs w:val="28"/>
        </w:rPr>
      </w:pPr>
    </w:p>
    <w:p w:rsidR="002D5734" w:rsidRDefault="002D5734" w:rsidP="002749E0">
      <w:pPr>
        <w:jc w:val="center"/>
        <w:rPr>
          <w:b/>
          <w:sz w:val="28"/>
          <w:szCs w:val="28"/>
        </w:rPr>
      </w:pPr>
    </w:p>
    <w:p w:rsidR="002D5734" w:rsidRDefault="002D5734" w:rsidP="002749E0">
      <w:pPr>
        <w:jc w:val="center"/>
        <w:rPr>
          <w:b/>
          <w:sz w:val="28"/>
          <w:szCs w:val="28"/>
        </w:rPr>
      </w:pPr>
    </w:p>
    <w:p w:rsidR="002D5734" w:rsidRDefault="002D5734" w:rsidP="002749E0">
      <w:pPr>
        <w:jc w:val="center"/>
        <w:rPr>
          <w:b/>
          <w:sz w:val="28"/>
          <w:szCs w:val="28"/>
        </w:rPr>
      </w:pPr>
    </w:p>
    <w:p w:rsidR="002D5734" w:rsidRDefault="002D5734" w:rsidP="002749E0">
      <w:pPr>
        <w:rPr>
          <w:b/>
          <w:sz w:val="28"/>
          <w:szCs w:val="28"/>
        </w:rPr>
      </w:pPr>
    </w:p>
    <w:p w:rsidR="002D5734" w:rsidRDefault="002D5734" w:rsidP="002749E0">
      <w:pPr>
        <w:rPr>
          <w:b/>
          <w:sz w:val="28"/>
          <w:szCs w:val="28"/>
        </w:rPr>
      </w:pPr>
    </w:p>
    <w:p w:rsidR="00EF3D98" w:rsidRPr="002749E0" w:rsidRDefault="00EF3D98" w:rsidP="00EF3D98">
      <w:pPr>
        <w:rPr>
          <w:b/>
          <w:szCs w:val="24"/>
        </w:rPr>
      </w:pPr>
    </w:p>
    <w:p w:rsidR="00EF3D98" w:rsidRPr="00EF3D98" w:rsidRDefault="00EF3D98" w:rsidP="00EF3D98">
      <w:pPr>
        <w:keepNext/>
        <w:overflowPunct/>
        <w:autoSpaceDE/>
        <w:autoSpaceDN/>
        <w:adjustRightInd/>
        <w:textAlignment w:val="auto"/>
        <w:outlineLvl w:val="7"/>
        <w:rPr>
          <w:rFonts w:ascii="Arial Black" w:hAnsi="Arial Black"/>
          <w:color w:val="001C3E"/>
          <w:sz w:val="48"/>
          <w:szCs w:val="24"/>
          <w:lang w:val="en-GB"/>
        </w:rPr>
      </w:pPr>
    </w:p>
    <w:p w:rsidR="00EF3D98" w:rsidRPr="00EF3D98" w:rsidRDefault="00EF3D98" w:rsidP="00EF3D98">
      <w:pPr>
        <w:keepNext/>
        <w:overflowPunct/>
        <w:autoSpaceDE/>
        <w:autoSpaceDN/>
        <w:adjustRightInd/>
        <w:textAlignment w:val="auto"/>
        <w:outlineLvl w:val="7"/>
        <w:rPr>
          <w:rFonts w:ascii="Arial Black" w:hAnsi="Arial Black"/>
          <w:color w:val="001C3E"/>
          <w:sz w:val="48"/>
          <w:szCs w:val="24"/>
          <w:lang w:val="en-GB"/>
        </w:rPr>
      </w:pPr>
    </w:p>
    <w:p w:rsidR="00EF3D98" w:rsidRPr="00EF3D98" w:rsidRDefault="00EF3D98" w:rsidP="00EF3D98">
      <w:pPr>
        <w:overflowPunct/>
        <w:autoSpaceDE/>
        <w:autoSpaceDN/>
        <w:adjustRightInd/>
        <w:spacing w:before="240" w:after="60"/>
        <w:textAlignment w:val="auto"/>
        <w:outlineLvl w:val="7"/>
        <w:rPr>
          <w:rFonts w:ascii="Times New Roman" w:hAnsi="Times New Roman"/>
          <w:i/>
          <w:szCs w:val="24"/>
          <w:lang w:val="en-GB"/>
        </w:rPr>
      </w:pPr>
    </w:p>
    <w:p w:rsidR="00EF3D98" w:rsidRPr="00EF3D98" w:rsidRDefault="00EF3D98" w:rsidP="00EF3D98">
      <w:pPr>
        <w:overflowPunct/>
        <w:autoSpaceDE/>
        <w:autoSpaceDN/>
        <w:adjustRightInd/>
        <w:textAlignment w:val="auto"/>
        <w:rPr>
          <w:rFonts w:cs="Arial"/>
          <w:color w:val="001C3E"/>
          <w:sz w:val="28"/>
          <w:lang w:val="en-GB"/>
        </w:rPr>
      </w:pPr>
    </w:p>
    <w:p w:rsidR="00EF3D98" w:rsidRPr="00EF3D98" w:rsidRDefault="00EF3D98" w:rsidP="00EF3D98">
      <w:pPr>
        <w:overflowPunct/>
        <w:autoSpaceDE/>
        <w:autoSpaceDN/>
        <w:adjustRightInd/>
        <w:spacing w:before="240"/>
        <w:textAlignment w:val="auto"/>
        <w:rPr>
          <w:rFonts w:ascii="Times New Roman" w:hAnsi="Times New Roman"/>
          <w:color w:val="001C3E"/>
          <w:sz w:val="36"/>
          <w:szCs w:val="24"/>
          <w:lang w:val="en-GB"/>
        </w:rPr>
      </w:pPr>
    </w:p>
    <w:p w:rsidR="00EF3D98" w:rsidRPr="00A5606C" w:rsidRDefault="00EF3D98" w:rsidP="00EF3D98">
      <w:pPr>
        <w:overflowPunct/>
        <w:autoSpaceDE/>
        <w:autoSpaceDN/>
        <w:adjustRightInd/>
        <w:textAlignment w:val="auto"/>
        <w:rPr>
          <w:rFonts w:cs="Arial"/>
          <w:szCs w:val="24"/>
          <w:lang w:val="en-GB"/>
        </w:rPr>
      </w:pPr>
    </w:p>
    <w:p w:rsidR="001D4F05" w:rsidRDefault="001D4F05" w:rsidP="00EF3D98">
      <w:pPr>
        <w:overflowPunct/>
        <w:autoSpaceDE/>
        <w:autoSpaceDN/>
        <w:adjustRightInd/>
        <w:spacing w:after="200" w:line="276" w:lineRule="auto"/>
        <w:textAlignment w:val="auto"/>
        <w:rPr>
          <w:rFonts w:eastAsia="Calibri" w:cs="Arial"/>
          <w:b/>
          <w:sz w:val="22"/>
          <w:szCs w:val="22"/>
          <w:lang w:val="en-GB"/>
        </w:rPr>
      </w:pPr>
    </w:p>
    <w:p w:rsidR="001D4F05" w:rsidRDefault="001D4F05" w:rsidP="00EF3D98">
      <w:pPr>
        <w:overflowPunct/>
        <w:autoSpaceDE/>
        <w:autoSpaceDN/>
        <w:adjustRightInd/>
        <w:spacing w:after="200" w:line="276" w:lineRule="auto"/>
        <w:textAlignment w:val="auto"/>
        <w:rPr>
          <w:rFonts w:eastAsia="Calibri" w:cs="Arial"/>
          <w:b/>
          <w:sz w:val="22"/>
          <w:szCs w:val="22"/>
          <w:lang w:val="en-GB"/>
        </w:rPr>
      </w:pPr>
    </w:p>
    <w:p w:rsidR="0058652A" w:rsidRPr="00A5606C" w:rsidRDefault="00E1797B" w:rsidP="00EF3D98">
      <w:pPr>
        <w:overflowPunct/>
        <w:autoSpaceDE/>
        <w:autoSpaceDN/>
        <w:adjustRightInd/>
        <w:spacing w:after="200" w:line="276" w:lineRule="auto"/>
        <w:textAlignment w:val="auto"/>
        <w:rPr>
          <w:rFonts w:eastAsia="Calibri" w:cs="Arial"/>
          <w:sz w:val="22"/>
          <w:szCs w:val="22"/>
          <w:lang w:val="en-GB"/>
        </w:rPr>
      </w:pPr>
      <w:r w:rsidRPr="00A5606C">
        <w:rPr>
          <w:rFonts w:eastAsia="Calibri" w:cs="Arial"/>
          <w:b/>
          <w:sz w:val="22"/>
          <w:szCs w:val="22"/>
          <w:lang w:val="en-GB"/>
        </w:rPr>
        <w:t>Dr Victor Joseph,</w:t>
      </w:r>
      <w:r w:rsidRPr="00A5606C">
        <w:rPr>
          <w:rFonts w:eastAsia="Calibri" w:cs="Arial"/>
          <w:sz w:val="22"/>
          <w:szCs w:val="22"/>
          <w:lang w:val="en-GB"/>
        </w:rPr>
        <w:t xml:space="preserve"> Consultant in Public Health, </w:t>
      </w:r>
      <w:r w:rsidR="00051A2B" w:rsidRPr="00A5606C">
        <w:rPr>
          <w:rFonts w:eastAsia="Calibri" w:cs="Arial"/>
          <w:sz w:val="22"/>
          <w:szCs w:val="22"/>
          <w:lang w:val="en-GB"/>
        </w:rPr>
        <w:t>Public Health Team, Adult Health and Well-being Directorate, DMBC</w:t>
      </w:r>
      <w:r w:rsidR="0058652A" w:rsidRPr="00A5606C">
        <w:rPr>
          <w:rFonts w:eastAsia="Calibri" w:cs="Arial"/>
          <w:sz w:val="22"/>
          <w:szCs w:val="22"/>
          <w:lang w:val="en-GB"/>
        </w:rPr>
        <w:t xml:space="preserve"> </w:t>
      </w:r>
      <w:r w:rsidRPr="00A5606C">
        <w:rPr>
          <w:rFonts w:eastAsia="Calibri" w:cs="Arial"/>
          <w:sz w:val="22"/>
          <w:szCs w:val="22"/>
          <w:lang w:val="en-GB"/>
        </w:rPr>
        <w:t xml:space="preserve"> o</w:t>
      </w:r>
      <w:r w:rsidR="00A96E09">
        <w:rPr>
          <w:rFonts w:eastAsia="Calibri" w:cs="Arial"/>
          <w:sz w:val="22"/>
          <w:szCs w:val="22"/>
          <w:lang w:val="en-GB"/>
        </w:rPr>
        <w:t>n behalf of Public Health, DMBC</w:t>
      </w:r>
      <w:r w:rsidRPr="00A5606C">
        <w:rPr>
          <w:rFonts w:eastAsia="Calibri" w:cs="Arial"/>
          <w:sz w:val="22"/>
          <w:szCs w:val="22"/>
          <w:lang w:val="en-GB"/>
        </w:rPr>
        <w:t xml:space="preserve"> </w:t>
      </w:r>
    </w:p>
    <w:p w:rsidR="00EF3D98" w:rsidRPr="00EF3D98" w:rsidRDefault="00317A29" w:rsidP="00EF3D98">
      <w:pPr>
        <w:overflowPunct/>
        <w:autoSpaceDE/>
        <w:autoSpaceDN/>
        <w:adjustRightInd/>
        <w:spacing w:after="200" w:line="276" w:lineRule="auto"/>
        <w:textAlignment w:val="auto"/>
        <w:rPr>
          <w:rFonts w:ascii="Calibri" w:eastAsia="Calibri" w:hAnsi="Calibri"/>
          <w:sz w:val="22"/>
          <w:szCs w:val="22"/>
          <w:lang w:val="en-GB"/>
        </w:rPr>
      </w:pPr>
      <w:r>
        <w:rPr>
          <w:rFonts w:eastAsia="Calibri" w:cs="Arial"/>
          <w:sz w:val="22"/>
          <w:szCs w:val="22"/>
          <w:lang w:val="en-GB"/>
        </w:rPr>
        <w:t>May</w:t>
      </w:r>
      <w:r w:rsidRPr="00A5606C">
        <w:rPr>
          <w:rFonts w:eastAsia="Calibri" w:cs="Arial"/>
          <w:sz w:val="22"/>
          <w:szCs w:val="22"/>
          <w:lang w:val="en-GB"/>
        </w:rPr>
        <w:t xml:space="preserve"> </w:t>
      </w:r>
      <w:r w:rsidR="00051A2B" w:rsidRPr="00A5606C">
        <w:rPr>
          <w:rFonts w:eastAsia="Calibri" w:cs="Arial"/>
          <w:sz w:val="22"/>
          <w:szCs w:val="22"/>
          <w:lang w:val="en-GB"/>
        </w:rPr>
        <w:t>2017</w:t>
      </w:r>
      <w:r w:rsidR="00EF3D98" w:rsidRPr="00A5606C">
        <w:rPr>
          <w:rFonts w:eastAsia="Calibri" w:cs="Arial"/>
          <w:sz w:val="22"/>
          <w:szCs w:val="22"/>
          <w:lang w:val="en-GB"/>
        </w:rPr>
        <w:br w:type="page"/>
      </w:r>
    </w:p>
    <w:p w:rsidR="00EF3D98" w:rsidRPr="00EF3D98" w:rsidRDefault="00EF3D98" w:rsidP="00EF3D98">
      <w:pPr>
        <w:overflowPunct/>
        <w:autoSpaceDE/>
        <w:autoSpaceDN/>
        <w:adjustRightInd/>
        <w:spacing w:after="200" w:line="276" w:lineRule="auto"/>
        <w:textAlignment w:val="auto"/>
        <w:rPr>
          <w:rFonts w:ascii="Calibri" w:eastAsia="Calibri" w:hAnsi="Calibri"/>
          <w:sz w:val="22"/>
          <w:szCs w:val="22"/>
          <w:lang w:val="en-GB"/>
        </w:rPr>
      </w:pPr>
    </w:p>
    <w:p w:rsidR="00EF3D98" w:rsidRPr="00EF3D98" w:rsidRDefault="00EF3D98" w:rsidP="00EF3D98">
      <w:pPr>
        <w:keepNext/>
        <w:keepLines/>
        <w:overflowPunct/>
        <w:autoSpaceDE/>
        <w:autoSpaceDN/>
        <w:adjustRightInd/>
        <w:spacing w:before="480" w:line="276" w:lineRule="auto"/>
        <w:textAlignment w:val="auto"/>
        <w:rPr>
          <w:rFonts w:cs="Arial"/>
          <w:b/>
          <w:bCs/>
          <w:sz w:val="36"/>
          <w:szCs w:val="36"/>
          <w:lang w:eastAsia="ja-JP"/>
        </w:rPr>
      </w:pPr>
      <w:r w:rsidRPr="00EF3D98">
        <w:rPr>
          <w:rFonts w:cs="Arial"/>
          <w:b/>
          <w:bCs/>
          <w:sz w:val="36"/>
          <w:szCs w:val="36"/>
          <w:lang w:eastAsia="ja-JP"/>
        </w:rPr>
        <w:t>Table of Contents</w:t>
      </w:r>
    </w:p>
    <w:p w:rsidR="006728E8" w:rsidRDefault="00EF3D98">
      <w:pPr>
        <w:pStyle w:val="TOC1"/>
        <w:tabs>
          <w:tab w:val="left" w:pos="440"/>
          <w:tab w:val="right" w:leader="dot" w:pos="9019"/>
        </w:tabs>
        <w:rPr>
          <w:rFonts w:asciiTheme="minorHAnsi" w:eastAsiaTheme="minorEastAsia" w:hAnsiTheme="minorHAnsi" w:cstheme="minorBidi"/>
          <w:noProof/>
          <w:lang w:eastAsia="en-GB"/>
        </w:rPr>
      </w:pPr>
      <w:r w:rsidRPr="00EF3D98">
        <w:fldChar w:fldCharType="begin"/>
      </w:r>
      <w:r w:rsidRPr="00EF3D98">
        <w:instrText xml:space="preserve"> TOC \o "1-3" \h \z \u </w:instrText>
      </w:r>
      <w:r w:rsidRPr="00EF3D98">
        <w:fldChar w:fldCharType="separate"/>
      </w:r>
      <w:hyperlink w:anchor="_Toc483994439" w:history="1">
        <w:r w:rsidR="006728E8" w:rsidRPr="00477934">
          <w:rPr>
            <w:rStyle w:val="Hyperlink"/>
            <w:noProof/>
          </w:rPr>
          <w:t>1.</w:t>
        </w:r>
        <w:r w:rsidR="006728E8">
          <w:rPr>
            <w:rFonts w:asciiTheme="minorHAnsi" w:eastAsiaTheme="minorEastAsia" w:hAnsiTheme="minorHAnsi" w:cstheme="minorBidi"/>
            <w:noProof/>
            <w:lang w:eastAsia="en-GB"/>
          </w:rPr>
          <w:tab/>
        </w:r>
        <w:r w:rsidR="006728E8" w:rsidRPr="00477934">
          <w:rPr>
            <w:rStyle w:val="Hyperlink"/>
            <w:noProof/>
          </w:rPr>
          <w:t>Introduction</w:t>
        </w:r>
        <w:r w:rsidR="006728E8">
          <w:rPr>
            <w:noProof/>
            <w:webHidden/>
          </w:rPr>
          <w:tab/>
        </w:r>
        <w:r w:rsidR="006728E8">
          <w:rPr>
            <w:noProof/>
            <w:webHidden/>
          </w:rPr>
          <w:fldChar w:fldCharType="begin"/>
        </w:r>
        <w:r w:rsidR="006728E8">
          <w:rPr>
            <w:noProof/>
            <w:webHidden/>
          </w:rPr>
          <w:instrText xml:space="preserve"> PAGEREF _Toc483994439 \h </w:instrText>
        </w:r>
        <w:r w:rsidR="006728E8">
          <w:rPr>
            <w:noProof/>
            <w:webHidden/>
          </w:rPr>
        </w:r>
        <w:r w:rsidR="006728E8">
          <w:rPr>
            <w:noProof/>
            <w:webHidden/>
          </w:rPr>
          <w:fldChar w:fldCharType="separate"/>
        </w:r>
        <w:r w:rsidR="006728E8">
          <w:rPr>
            <w:noProof/>
            <w:webHidden/>
          </w:rPr>
          <w:t>1</w:t>
        </w:r>
        <w:r w:rsidR="006728E8">
          <w:rPr>
            <w:noProof/>
            <w:webHidden/>
          </w:rPr>
          <w:fldChar w:fldCharType="end"/>
        </w:r>
      </w:hyperlink>
    </w:p>
    <w:p w:rsidR="006728E8" w:rsidRDefault="00C64715">
      <w:pPr>
        <w:pStyle w:val="TOC2"/>
        <w:tabs>
          <w:tab w:val="left" w:pos="880"/>
          <w:tab w:val="right" w:leader="dot" w:pos="9019"/>
        </w:tabs>
        <w:rPr>
          <w:rFonts w:asciiTheme="minorHAnsi" w:eastAsiaTheme="minorEastAsia" w:hAnsiTheme="minorHAnsi" w:cstheme="minorBidi"/>
          <w:noProof/>
          <w:lang w:eastAsia="en-GB"/>
        </w:rPr>
      </w:pPr>
      <w:hyperlink w:anchor="_Toc483994440" w:history="1">
        <w:r w:rsidR="006728E8" w:rsidRPr="00477934">
          <w:rPr>
            <w:rStyle w:val="Hyperlink"/>
            <w:noProof/>
          </w:rPr>
          <w:t xml:space="preserve">1.1 </w:t>
        </w:r>
        <w:r w:rsidR="006728E8">
          <w:rPr>
            <w:rFonts w:asciiTheme="minorHAnsi" w:eastAsiaTheme="minorEastAsia" w:hAnsiTheme="minorHAnsi" w:cstheme="minorBidi"/>
            <w:noProof/>
            <w:lang w:eastAsia="en-GB"/>
          </w:rPr>
          <w:tab/>
        </w:r>
        <w:r w:rsidR="006728E8" w:rsidRPr="00477934">
          <w:rPr>
            <w:rStyle w:val="Hyperlink"/>
            <w:noProof/>
          </w:rPr>
          <w:t>Background</w:t>
        </w:r>
        <w:r w:rsidR="006728E8">
          <w:rPr>
            <w:noProof/>
            <w:webHidden/>
          </w:rPr>
          <w:tab/>
        </w:r>
        <w:r w:rsidR="006728E8">
          <w:rPr>
            <w:noProof/>
            <w:webHidden/>
          </w:rPr>
          <w:fldChar w:fldCharType="begin"/>
        </w:r>
        <w:r w:rsidR="006728E8">
          <w:rPr>
            <w:noProof/>
            <w:webHidden/>
          </w:rPr>
          <w:instrText xml:space="preserve"> PAGEREF _Toc483994440 \h </w:instrText>
        </w:r>
        <w:r w:rsidR="006728E8">
          <w:rPr>
            <w:noProof/>
            <w:webHidden/>
          </w:rPr>
        </w:r>
        <w:r w:rsidR="006728E8">
          <w:rPr>
            <w:noProof/>
            <w:webHidden/>
          </w:rPr>
          <w:fldChar w:fldCharType="separate"/>
        </w:r>
        <w:r w:rsidR="006728E8">
          <w:rPr>
            <w:noProof/>
            <w:webHidden/>
          </w:rPr>
          <w:t>1</w:t>
        </w:r>
        <w:r w:rsidR="006728E8">
          <w:rPr>
            <w:noProof/>
            <w:webHidden/>
          </w:rPr>
          <w:fldChar w:fldCharType="end"/>
        </w:r>
      </w:hyperlink>
    </w:p>
    <w:p w:rsidR="006728E8" w:rsidRDefault="00C64715">
      <w:pPr>
        <w:pStyle w:val="TOC2"/>
        <w:tabs>
          <w:tab w:val="left" w:pos="880"/>
          <w:tab w:val="right" w:leader="dot" w:pos="9019"/>
        </w:tabs>
        <w:rPr>
          <w:rFonts w:asciiTheme="minorHAnsi" w:eastAsiaTheme="minorEastAsia" w:hAnsiTheme="minorHAnsi" w:cstheme="minorBidi"/>
          <w:noProof/>
          <w:lang w:eastAsia="en-GB"/>
        </w:rPr>
      </w:pPr>
      <w:hyperlink w:anchor="_Toc483994441" w:history="1">
        <w:r w:rsidR="006728E8" w:rsidRPr="00477934">
          <w:rPr>
            <w:rStyle w:val="Hyperlink"/>
            <w:noProof/>
          </w:rPr>
          <w:t xml:space="preserve">1.2 </w:t>
        </w:r>
        <w:r w:rsidR="006728E8">
          <w:rPr>
            <w:rFonts w:asciiTheme="minorHAnsi" w:eastAsiaTheme="minorEastAsia" w:hAnsiTheme="minorHAnsi" w:cstheme="minorBidi"/>
            <w:noProof/>
            <w:lang w:eastAsia="en-GB"/>
          </w:rPr>
          <w:tab/>
        </w:r>
        <w:r w:rsidR="006728E8" w:rsidRPr="00477934">
          <w:rPr>
            <w:rStyle w:val="Hyperlink"/>
            <w:noProof/>
          </w:rPr>
          <w:t>The Public Health Role of Local Authorities</w:t>
        </w:r>
        <w:r w:rsidR="006728E8">
          <w:rPr>
            <w:noProof/>
            <w:webHidden/>
          </w:rPr>
          <w:tab/>
        </w:r>
        <w:r w:rsidR="006728E8">
          <w:rPr>
            <w:noProof/>
            <w:webHidden/>
          </w:rPr>
          <w:fldChar w:fldCharType="begin"/>
        </w:r>
        <w:r w:rsidR="006728E8">
          <w:rPr>
            <w:noProof/>
            <w:webHidden/>
          </w:rPr>
          <w:instrText xml:space="preserve"> PAGEREF _Toc483994441 \h </w:instrText>
        </w:r>
        <w:r w:rsidR="006728E8">
          <w:rPr>
            <w:noProof/>
            <w:webHidden/>
          </w:rPr>
        </w:r>
        <w:r w:rsidR="006728E8">
          <w:rPr>
            <w:noProof/>
            <w:webHidden/>
          </w:rPr>
          <w:fldChar w:fldCharType="separate"/>
        </w:r>
        <w:r w:rsidR="006728E8">
          <w:rPr>
            <w:noProof/>
            <w:webHidden/>
          </w:rPr>
          <w:t>1</w:t>
        </w:r>
        <w:r w:rsidR="006728E8">
          <w:rPr>
            <w:noProof/>
            <w:webHidden/>
          </w:rPr>
          <w:fldChar w:fldCharType="end"/>
        </w:r>
      </w:hyperlink>
    </w:p>
    <w:p w:rsidR="006728E8" w:rsidRDefault="00C64715">
      <w:pPr>
        <w:pStyle w:val="TOC2"/>
        <w:tabs>
          <w:tab w:val="left" w:pos="880"/>
          <w:tab w:val="right" w:leader="dot" w:pos="9019"/>
        </w:tabs>
        <w:rPr>
          <w:rFonts w:asciiTheme="minorHAnsi" w:eastAsiaTheme="minorEastAsia" w:hAnsiTheme="minorHAnsi" w:cstheme="minorBidi"/>
          <w:noProof/>
          <w:lang w:eastAsia="en-GB"/>
        </w:rPr>
      </w:pPr>
      <w:hyperlink w:anchor="_Toc483994442" w:history="1">
        <w:r w:rsidR="006728E8" w:rsidRPr="00477934">
          <w:rPr>
            <w:rStyle w:val="Hyperlink"/>
            <w:noProof/>
          </w:rPr>
          <w:t>1.3</w:t>
        </w:r>
        <w:r w:rsidR="006728E8">
          <w:rPr>
            <w:rFonts w:asciiTheme="minorHAnsi" w:eastAsiaTheme="minorEastAsia" w:hAnsiTheme="minorHAnsi" w:cstheme="minorBidi"/>
            <w:noProof/>
            <w:lang w:eastAsia="en-GB"/>
          </w:rPr>
          <w:tab/>
        </w:r>
        <w:r w:rsidR="006728E8" w:rsidRPr="00477934">
          <w:rPr>
            <w:rStyle w:val="Hyperlink"/>
            <w:noProof/>
          </w:rPr>
          <w:t>The Public Health Grant</w:t>
        </w:r>
        <w:r w:rsidR="006728E8">
          <w:rPr>
            <w:noProof/>
            <w:webHidden/>
          </w:rPr>
          <w:tab/>
        </w:r>
        <w:r w:rsidR="006728E8">
          <w:rPr>
            <w:noProof/>
            <w:webHidden/>
          </w:rPr>
          <w:fldChar w:fldCharType="begin"/>
        </w:r>
        <w:r w:rsidR="006728E8">
          <w:rPr>
            <w:noProof/>
            <w:webHidden/>
          </w:rPr>
          <w:instrText xml:space="preserve"> PAGEREF _Toc483994442 \h </w:instrText>
        </w:r>
        <w:r w:rsidR="006728E8">
          <w:rPr>
            <w:noProof/>
            <w:webHidden/>
          </w:rPr>
        </w:r>
        <w:r w:rsidR="006728E8">
          <w:rPr>
            <w:noProof/>
            <w:webHidden/>
          </w:rPr>
          <w:fldChar w:fldCharType="separate"/>
        </w:r>
        <w:r w:rsidR="006728E8">
          <w:rPr>
            <w:noProof/>
            <w:webHidden/>
          </w:rPr>
          <w:t>3</w:t>
        </w:r>
        <w:r w:rsidR="006728E8">
          <w:rPr>
            <w:noProof/>
            <w:webHidden/>
          </w:rPr>
          <w:fldChar w:fldCharType="end"/>
        </w:r>
      </w:hyperlink>
    </w:p>
    <w:p w:rsidR="006728E8" w:rsidRDefault="00C64715">
      <w:pPr>
        <w:pStyle w:val="TOC1"/>
        <w:tabs>
          <w:tab w:val="left" w:pos="440"/>
          <w:tab w:val="right" w:leader="dot" w:pos="9019"/>
        </w:tabs>
        <w:rPr>
          <w:rFonts w:asciiTheme="minorHAnsi" w:eastAsiaTheme="minorEastAsia" w:hAnsiTheme="minorHAnsi" w:cstheme="minorBidi"/>
          <w:noProof/>
          <w:lang w:eastAsia="en-GB"/>
        </w:rPr>
      </w:pPr>
      <w:hyperlink w:anchor="_Toc483994443" w:history="1">
        <w:r w:rsidR="006728E8" w:rsidRPr="00477934">
          <w:rPr>
            <w:rStyle w:val="Hyperlink"/>
            <w:rFonts w:cs="Arial"/>
            <w:noProof/>
          </w:rPr>
          <w:t>2.</w:t>
        </w:r>
        <w:r w:rsidR="006728E8">
          <w:rPr>
            <w:rFonts w:asciiTheme="minorHAnsi" w:eastAsiaTheme="minorEastAsia" w:hAnsiTheme="minorHAnsi" w:cstheme="minorBidi"/>
            <w:noProof/>
            <w:lang w:eastAsia="en-GB"/>
          </w:rPr>
          <w:tab/>
        </w:r>
        <w:r w:rsidR="006728E8" w:rsidRPr="00477934">
          <w:rPr>
            <w:rStyle w:val="Hyperlink"/>
            <w:noProof/>
          </w:rPr>
          <w:t>Developing the Commissioning Strategy:</w:t>
        </w:r>
        <w:r w:rsidR="006728E8">
          <w:rPr>
            <w:noProof/>
            <w:webHidden/>
          </w:rPr>
          <w:tab/>
        </w:r>
        <w:r w:rsidR="006728E8">
          <w:rPr>
            <w:noProof/>
            <w:webHidden/>
          </w:rPr>
          <w:fldChar w:fldCharType="begin"/>
        </w:r>
        <w:r w:rsidR="006728E8">
          <w:rPr>
            <w:noProof/>
            <w:webHidden/>
          </w:rPr>
          <w:instrText xml:space="preserve"> PAGEREF _Toc483994443 \h </w:instrText>
        </w:r>
        <w:r w:rsidR="006728E8">
          <w:rPr>
            <w:noProof/>
            <w:webHidden/>
          </w:rPr>
        </w:r>
        <w:r w:rsidR="006728E8">
          <w:rPr>
            <w:noProof/>
            <w:webHidden/>
          </w:rPr>
          <w:fldChar w:fldCharType="separate"/>
        </w:r>
        <w:r w:rsidR="006728E8">
          <w:rPr>
            <w:noProof/>
            <w:webHidden/>
          </w:rPr>
          <w:t>5</w:t>
        </w:r>
        <w:r w:rsidR="006728E8">
          <w:rPr>
            <w:noProof/>
            <w:webHidden/>
          </w:rPr>
          <w:fldChar w:fldCharType="end"/>
        </w:r>
      </w:hyperlink>
    </w:p>
    <w:p w:rsidR="006728E8" w:rsidRDefault="00C64715">
      <w:pPr>
        <w:pStyle w:val="TOC2"/>
        <w:tabs>
          <w:tab w:val="left" w:pos="880"/>
          <w:tab w:val="right" w:leader="dot" w:pos="9019"/>
        </w:tabs>
        <w:rPr>
          <w:rFonts w:asciiTheme="minorHAnsi" w:eastAsiaTheme="minorEastAsia" w:hAnsiTheme="minorHAnsi" w:cstheme="minorBidi"/>
          <w:noProof/>
          <w:lang w:eastAsia="en-GB"/>
        </w:rPr>
      </w:pPr>
      <w:hyperlink w:anchor="_Toc483994444" w:history="1">
        <w:r w:rsidR="006728E8" w:rsidRPr="00477934">
          <w:rPr>
            <w:rStyle w:val="Hyperlink"/>
            <w:noProof/>
          </w:rPr>
          <w:t>2.1</w:t>
        </w:r>
        <w:r w:rsidR="006728E8">
          <w:rPr>
            <w:rFonts w:asciiTheme="minorHAnsi" w:eastAsiaTheme="minorEastAsia" w:hAnsiTheme="minorHAnsi" w:cstheme="minorBidi"/>
            <w:noProof/>
            <w:lang w:eastAsia="en-GB"/>
          </w:rPr>
          <w:tab/>
        </w:r>
        <w:r w:rsidR="006728E8" w:rsidRPr="00477934">
          <w:rPr>
            <w:rStyle w:val="Hyperlink"/>
            <w:noProof/>
          </w:rPr>
          <w:t>Principle 1: Commissioning for Outcomes</w:t>
        </w:r>
        <w:r w:rsidR="006728E8">
          <w:rPr>
            <w:noProof/>
            <w:webHidden/>
          </w:rPr>
          <w:tab/>
        </w:r>
        <w:r w:rsidR="006728E8">
          <w:rPr>
            <w:noProof/>
            <w:webHidden/>
          </w:rPr>
          <w:fldChar w:fldCharType="begin"/>
        </w:r>
        <w:r w:rsidR="006728E8">
          <w:rPr>
            <w:noProof/>
            <w:webHidden/>
          </w:rPr>
          <w:instrText xml:space="preserve"> PAGEREF _Toc483994444 \h </w:instrText>
        </w:r>
        <w:r w:rsidR="006728E8">
          <w:rPr>
            <w:noProof/>
            <w:webHidden/>
          </w:rPr>
        </w:r>
        <w:r w:rsidR="006728E8">
          <w:rPr>
            <w:noProof/>
            <w:webHidden/>
          </w:rPr>
          <w:fldChar w:fldCharType="separate"/>
        </w:r>
        <w:r w:rsidR="006728E8">
          <w:rPr>
            <w:noProof/>
            <w:webHidden/>
          </w:rPr>
          <w:t>6</w:t>
        </w:r>
        <w:r w:rsidR="006728E8">
          <w:rPr>
            <w:noProof/>
            <w:webHidden/>
          </w:rPr>
          <w:fldChar w:fldCharType="end"/>
        </w:r>
      </w:hyperlink>
    </w:p>
    <w:p w:rsidR="006728E8" w:rsidRDefault="00C64715">
      <w:pPr>
        <w:pStyle w:val="TOC2"/>
        <w:tabs>
          <w:tab w:val="left" w:pos="880"/>
          <w:tab w:val="right" w:leader="dot" w:pos="9019"/>
        </w:tabs>
        <w:rPr>
          <w:rFonts w:asciiTheme="minorHAnsi" w:eastAsiaTheme="minorEastAsia" w:hAnsiTheme="minorHAnsi" w:cstheme="minorBidi"/>
          <w:noProof/>
          <w:lang w:eastAsia="en-GB"/>
        </w:rPr>
      </w:pPr>
      <w:hyperlink w:anchor="_Toc483994445" w:history="1">
        <w:r w:rsidR="006728E8" w:rsidRPr="00477934">
          <w:rPr>
            <w:rStyle w:val="Hyperlink"/>
            <w:noProof/>
          </w:rPr>
          <w:t>2.2</w:t>
        </w:r>
        <w:r w:rsidR="006728E8">
          <w:rPr>
            <w:rFonts w:asciiTheme="minorHAnsi" w:eastAsiaTheme="minorEastAsia" w:hAnsiTheme="minorHAnsi" w:cstheme="minorBidi"/>
            <w:noProof/>
            <w:lang w:eastAsia="en-GB"/>
          </w:rPr>
          <w:tab/>
        </w:r>
        <w:r w:rsidR="006728E8" w:rsidRPr="00477934">
          <w:rPr>
            <w:rStyle w:val="Hyperlink"/>
            <w:noProof/>
          </w:rPr>
          <w:t>Principle 2: Challenging existing and reviewing alternative service delivery models</w:t>
        </w:r>
        <w:r w:rsidR="006728E8">
          <w:rPr>
            <w:noProof/>
            <w:webHidden/>
          </w:rPr>
          <w:tab/>
        </w:r>
        <w:r w:rsidR="006728E8">
          <w:rPr>
            <w:noProof/>
            <w:webHidden/>
          </w:rPr>
          <w:fldChar w:fldCharType="begin"/>
        </w:r>
        <w:r w:rsidR="006728E8">
          <w:rPr>
            <w:noProof/>
            <w:webHidden/>
          </w:rPr>
          <w:instrText xml:space="preserve"> PAGEREF _Toc483994445 \h </w:instrText>
        </w:r>
        <w:r w:rsidR="006728E8">
          <w:rPr>
            <w:noProof/>
            <w:webHidden/>
          </w:rPr>
        </w:r>
        <w:r w:rsidR="006728E8">
          <w:rPr>
            <w:noProof/>
            <w:webHidden/>
          </w:rPr>
          <w:fldChar w:fldCharType="separate"/>
        </w:r>
        <w:r w:rsidR="006728E8">
          <w:rPr>
            <w:noProof/>
            <w:webHidden/>
          </w:rPr>
          <w:t>7</w:t>
        </w:r>
        <w:r w:rsidR="006728E8">
          <w:rPr>
            <w:noProof/>
            <w:webHidden/>
          </w:rPr>
          <w:fldChar w:fldCharType="end"/>
        </w:r>
      </w:hyperlink>
    </w:p>
    <w:p w:rsidR="006728E8" w:rsidRDefault="00C64715">
      <w:pPr>
        <w:pStyle w:val="TOC2"/>
        <w:tabs>
          <w:tab w:val="left" w:pos="880"/>
          <w:tab w:val="right" w:leader="dot" w:pos="9019"/>
        </w:tabs>
        <w:rPr>
          <w:rFonts w:asciiTheme="minorHAnsi" w:eastAsiaTheme="minorEastAsia" w:hAnsiTheme="minorHAnsi" w:cstheme="minorBidi"/>
          <w:noProof/>
          <w:lang w:eastAsia="en-GB"/>
        </w:rPr>
      </w:pPr>
      <w:hyperlink w:anchor="_Toc483994446" w:history="1">
        <w:r w:rsidR="006728E8" w:rsidRPr="00477934">
          <w:rPr>
            <w:rStyle w:val="Hyperlink"/>
            <w:noProof/>
          </w:rPr>
          <w:t>2.3</w:t>
        </w:r>
        <w:r w:rsidR="006728E8">
          <w:rPr>
            <w:rFonts w:asciiTheme="minorHAnsi" w:eastAsiaTheme="minorEastAsia" w:hAnsiTheme="minorHAnsi" w:cstheme="minorBidi"/>
            <w:noProof/>
            <w:lang w:eastAsia="en-GB"/>
          </w:rPr>
          <w:tab/>
        </w:r>
        <w:r w:rsidR="006728E8" w:rsidRPr="00477934">
          <w:rPr>
            <w:rStyle w:val="Hyperlink"/>
            <w:noProof/>
          </w:rPr>
          <w:t>Principle 3: Work in partnership</w:t>
        </w:r>
        <w:r w:rsidR="006728E8">
          <w:rPr>
            <w:noProof/>
            <w:webHidden/>
          </w:rPr>
          <w:tab/>
        </w:r>
        <w:r w:rsidR="006728E8">
          <w:rPr>
            <w:noProof/>
            <w:webHidden/>
          </w:rPr>
          <w:fldChar w:fldCharType="begin"/>
        </w:r>
        <w:r w:rsidR="006728E8">
          <w:rPr>
            <w:noProof/>
            <w:webHidden/>
          </w:rPr>
          <w:instrText xml:space="preserve"> PAGEREF _Toc483994446 \h </w:instrText>
        </w:r>
        <w:r w:rsidR="006728E8">
          <w:rPr>
            <w:noProof/>
            <w:webHidden/>
          </w:rPr>
        </w:r>
        <w:r w:rsidR="006728E8">
          <w:rPr>
            <w:noProof/>
            <w:webHidden/>
          </w:rPr>
          <w:fldChar w:fldCharType="separate"/>
        </w:r>
        <w:r w:rsidR="006728E8">
          <w:rPr>
            <w:noProof/>
            <w:webHidden/>
          </w:rPr>
          <w:t>9</w:t>
        </w:r>
        <w:r w:rsidR="006728E8">
          <w:rPr>
            <w:noProof/>
            <w:webHidden/>
          </w:rPr>
          <w:fldChar w:fldCharType="end"/>
        </w:r>
      </w:hyperlink>
    </w:p>
    <w:p w:rsidR="006728E8" w:rsidRDefault="00C64715">
      <w:pPr>
        <w:pStyle w:val="TOC2"/>
        <w:tabs>
          <w:tab w:val="left" w:pos="880"/>
          <w:tab w:val="right" w:leader="dot" w:pos="9019"/>
        </w:tabs>
        <w:rPr>
          <w:rFonts w:asciiTheme="minorHAnsi" w:eastAsiaTheme="minorEastAsia" w:hAnsiTheme="minorHAnsi" w:cstheme="minorBidi"/>
          <w:noProof/>
          <w:lang w:eastAsia="en-GB"/>
        </w:rPr>
      </w:pPr>
      <w:hyperlink w:anchor="_Toc483994447" w:history="1">
        <w:r w:rsidR="006728E8" w:rsidRPr="00477934">
          <w:rPr>
            <w:rStyle w:val="Hyperlink"/>
            <w:noProof/>
          </w:rPr>
          <w:t>2.4</w:t>
        </w:r>
        <w:r w:rsidR="006728E8">
          <w:rPr>
            <w:rFonts w:asciiTheme="minorHAnsi" w:eastAsiaTheme="minorEastAsia" w:hAnsiTheme="minorHAnsi" w:cstheme="minorBidi"/>
            <w:noProof/>
            <w:lang w:eastAsia="en-GB"/>
          </w:rPr>
          <w:tab/>
        </w:r>
        <w:r w:rsidR="006728E8" w:rsidRPr="00477934">
          <w:rPr>
            <w:rStyle w:val="Hyperlink"/>
            <w:noProof/>
          </w:rPr>
          <w:t>Principle 4 &amp; 6: Understanding Needs and Promoting Resident Involvement</w:t>
        </w:r>
        <w:r w:rsidR="006728E8">
          <w:rPr>
            <w:noProof/>
            <w:webHidden/>
          </w:rPr>
          <w:tab/>
        </w:r>
        <w:r w:rsidR="006728E8">
          <w:rPr>
            <w:noProof/>
            <w:webHidden/>
          </w:rPr>
          <w:fldChar w:fldCharType="begin"/>
        </w:r>
        <w:r w:rsidR="006728E8">
          <w:rPr>
            <w:noProof/>
            <w:webHidden/>
          </w:rPr>
          <w:instrText xml:space="preserve"> PAGEREF _Toc483994447 \h </w:instrText>
        </w:r>
        <w:r w:rsidR="006728E8">
          <w:rPr>
            <w:noProof/>
            <w:webHidden/>
          </w:rPr>
        </w:r>
        <w:r w:rsidR="006728E8">
          <w:rPr>
            <w:noProof/>
            <w:webHidden/>
          </w:rPr>
          <w:fldChar w:fldCharType="separate"/>
        </w:r>
        <w:r w:rsidR="006728E8">
          <w:rPr>
            <w:noProof/>
            <w:webHidden/>
          </w:rPr>
          <w:t>9</w:t>
        </w:r>
        <w:r w:rsidR="006728E8">
          <w:rPr>
            <w:noProof/>
            <w:webHidden/>
          </w:rPr>
          <w:fldChar w:fldCharType="end"/>
        </w:r>
      </w:hyperlink>
    </w:p>
    <w:p w:rsidR="006728E8" w:rsidRDefault="00C64715">
      <w:pPr>
        <w:pStyle w:val="TOC2"/>
        <w:tabs>
          <w:tab w:val="left" w:pos="880"/>
          <w:tab w:val="right" w:leader="dot" w:pos="9019"/>
        </w:tabs>
        <w:rPr>
          <w:rFonts w:asciiTheme="minorHAnsi" w:eastAsiaTheme="minorEastAsia" w:hAnsiTheme="minorHAnsi" w:cstheme="minorBidi"/>
          <w:noProof/>
          <w:lang w:eastAsia="en-GB"/>
        </w:rPr>
      </w:pPr>
      <w:hyperlink w:anchor="_Toc483994448" w:history="1">
        <w:r w:rsidR="006728E8" w:rsidRPr="00477934">
          <w:rPr>
            <w:rStyle w:val="Hyperlink"/>
            <w:noProof/>
          </w:rPr>
          <w:t>2.5</w:t>
        </w:r>
        <w:r w:rsidR="006728E8">
          <w:rPr>
            <w:rFonts w:asciiTheme="minorHAnsi" w:eastAsiaTheme="minorEastAsia" w:hAnsiTheme="minorHAnsi" w:cstheme="minorBidi"/>
            <w:noProof/>
            <w:lang w:eastAsia="en-GB"/>
          </w:rPr>
          <w:tab/>
        </w:r>
        <w:r w:rsidR="006728E8" w:rsidRPr="00477934">
          <w:rPr>
            <w:rStyle w:val="Hyperlink"/>
            <w:noProof/>
          </w:rPr>
          <w:t>Principle 5: Social Value</w:t>
        </w:r>
        <w:r w:rsidR="006728E8">
          <w:rPr>
            <w:noProof/>
            <w:webHidden/>
          </w:rPr>
          <w:tab/>
        </w:r>
        <w:r w:rsidR="006728E8">
          <w:rPr>
            <w:noProof/>
            <w:webHidden/>
          </w:rPr>
          <w:fldChar w:fldCharType="begin"/>
        </w:r>
        <w:r w:rsidR="006728E8">
          <w:rPr>
            <w:noProof/>
            <w:webHidden/>
          </w:rPr>
          <w:instrText xml:space="preserve"> PAGEREF _Toc483994448 \h </w:instrText>
        </w:r>
        <w:r w:rsidR="006728E8">
          <w:rPr>
            <w:noProof/>
            <w:webHidden/>
          </w:rPr>
        </w:r>
        <w:r w:rsidR="006728E8">
          <w:rPr>
            <w:noProof/>
            <w:webHidden/>
          </w:rPr>
          <w:fldChar w:fldCharType="separate"/>
        </w:r>
        <w:r w:rsidR="006728E8">
          <w:rPr>
            <w:noProof/>
            <w:webHidden/>
          </w:rPr>
          <w:t>9</w:t>
        </w:r>
        <w:r w:rsidR="006728E8">
          <w:rPr>
            <w:noProof/>
            <w:webHidden/>
          </w:rPr>
          <w:fldChar w:fldCharType="end"/>
        </w:r>
      </w:hyperlink>
    </w:p>
    <w:p w:rsidR="006728E8" w:rsidRDefault="00C64715">
      <w:pPr>
        <w:pStyle w:val="TOC2"/>
        <w:tabs>
          <w:tab w:val="left" w:pos="880"/>
          <w:tab w:val="right" w:leader="dot" w:pos="9019"/>
        </w:tabs>
        <w:rPr>
          <w:rFonts w:asciiTheme="minorHAnsi" w:eastAsiaTheme="minorEastAsia" w:hAnsiTheme="minorHAnsi" w:cstheme="minorBidi"/>
          <w:noProof/>
          <w:lang w:eastAsia="en-GB"/>
        </w:rPr>
      </w:pPr>
      <w:hyperlink w:anchor="_Toc483994449" w:history="1">
        <w:r w:rsidR="006728E8" w:rsidRPr="00477934">
          <w:rPr>
            <w:rStyle w:val="Hyperlink"/>
            <w:noProof/>
          </w:rPr>
          <w:t>2.6</w:t>
        </w:r>
        <w:r w:rsidR="006728E8">
          <w:rPr>
            <w:rFonts w:asciiTheme="minorHAnsi" w:eastAsiaTheme="minorEastAsia" w:hAnsiTheme="minorHAnsi" w:cstheme="minorBidi"/>
            <w:noProof/>
            <w:lang w:eastAsia="en-GB"/>
          </w:rPr>
          <w:tab/>
        </w:r>
        <w:r w:rsidR="006728E8" w:rsidRPr="00477934">
          <w:rPr>
            <w:rStyle w:val="Hyperlink"/>
            <w:noProof/>
          </w:rPr>
          <w:t>Principle 7: Value for Money</w:t>
        </w:r>
        <w:r w:rsidR="006728E8">
          <w:rPr>
            <w:noProof/>
            <w:webHidden/>
          </w:rPr>
          <w:tab/>
        </w:r>
        <w:r w:rsidR="006728E8">
          <w:rPr>
            <w:noProof/>
            <w:webHidden/>
          </w:rPr>
          <w:fldChar w:fldCharType="begin"/>
        </w:r>
        <w:r w:rsidR="006728E8">
          <w:rPr>
            <w:noProof/>
            <w:webHidden/>
          </w:rPr>
          <w:instrText xml:space="preserve"> PAGEREF _Toc483994449 \h </w:instrText>
        </w:r>
        <w:r w:rsidR="006728E8">
          <w:rPr>
            <w:noProof/>
            <w:webHidden/>
          </w:rPr>
        </w:r>
        <w:r w:rsidR="006728E8">
          <w:rPr>
            <w:noProof/>
            <w:webHidden/>
          </w:rPr>
          <w:fldChar w:fldCharType="separate"/>
        </w:r>
        <w:r w:rsidR="006728E8">
          <w:rPr>
            <w:noProof/>
            <w:webHidden/>
          </w:rPr>
          <w:t>10</w:t>
        </w:r>
        <w:r w:rsidR="006728E8">
          <w:rPr>
            <w:noProof/>
            <w:webHidden/>
          </w:rPr>
          <w:fldChar w:fldCharType="end"/>
        </w:r>
      </w:hyperlink>
    </w:p>
    <w:p w:rsidR="006728E8" w:rsidRDefault="00C64715">
      <w:pPr>
        <w:pStyle w:val="TOC2"/>
        <w:tabs>
          <w:tab w:val="left" w:pos="880"/>
          <w:tab w:val="right" w:leader="dot" w:pos="9019"/>
        </w:tabs>
        <w:rPr>
          <w:rFonts w:asciiTheme="minorHAnsi" w:eastAsiaTheme="minorEastAsia" w:hAnsiTheme="minorHAnsi" w:cstheme="minorBidi"/>
          <w:noProof/>
          <w:lang w:eastAsia="en-GB"/>
        </w:rPr>
      </w:pPr>
      <w:hyperlink w:anchor="_Toc483994450" w:history="1">
        <w:r w:rsidR="006728E8" w:rsidRPr="00477934">
          <w:rPr>
            <w:rStyle w:val="Hyperlink"/>
            <w:noProof/>
          </w:rPr>
          <w:t>2.7</w:t>
        </w:r>
        <w:r w:rsidR="006728E8">
          <w:rPr>
            <w:rFonts w:asciiTheme="minorHAnsi" w:eastAsiaTheme="minorEastAsia" w:hAnsiTheme="minorHAnsi" w:cstheme="minorBidi"/>
            <w:noProof/>
            <w:lang w:eastAsia="en-GB"/>
          </w:rPr>
          <w:tab/>
        </w:r>
        <w:r w:rsidR="006728E8" w:rsidRPr="00477934">
          <w:rPr>
            <w:rStyle w:val="Hyperlink"/>
            <w:noProof/>
          </w:rPr>
          <w:t>Principle 8: Building Sustainability</w:t>
        </w:r>
        <w:r w:rsidR="006728E8">
          <w:rPr>
            <w:noProof/>
            <w:webHidden/>
          </w:rPr>
          <w:tab/>
        </w:r>
        <w:r w:rsidR="006728E8">
          <w:rPr>
            <w:noProof/>
            <w:webHidden/>
          </w:rPr>
          <w:fldChar w:fldCharType="begin"/>
        </w:r>
        <w:r w:rsidR="006728E8">
          <w:rPr>
            <w:noProof/>
            <w:webHidden/>
          </w:rPr>
          <w:instrText xml:space="preserve"> PAGEREF _Toc483994450 \h </w:instrText>
        </w:r>
        <w:r w:rsidR="006728E8">
          <w:rPr>
            <w:noProof/>
            <w:webHidden/>
          </w:rPr>
        </w:r>
        <w:r w:rsidR="006728E8">
          <w:rPr>
            <w:noProof/>
            <w:webHidden/>
          </w:rPr>
          <w:fldChar w:fldCharType="separate"/>
        </w:r>
        <w:r w:rsidR="006728E8">
          <w:rPr>
            <w:noProof/>
            <w:webHidden/>
          </w:rPr>
          <w:t>14</w:t>
        </w:r>
        <w:r w:rsidR="006728E8">
          <w:rPr>
            <w:noProof/>
            <w:webHidden/>
          </w:rPr>
          <w:fldChar w:fldCharType="end"/>
        </w:r>
      </w:hyperlink>
    </w:p>
    <w:p w:rsidR="006728E8" w:rsidRDefault="00C64715">
      <w:pPr>
        <w:pStyle w:val="TOC2"/>
        <w:tabs>
          <w:tab w:val="left" w:pos="880"/>
          <w:tab w:val="right" w:leader="dot" w:pos="9019"/>
        </w:tabs>
        <w:rPr>
          <w:rFonts w:asciiTheme="minorHAnsi" w:eastAsiaTheme="minorEastAsia" w:hAnsiTheme="minorHAnsi" w:cstheme="minorBidi"/>
          <w:noProof/>
          <w:lang w:eastAsia="en-GB"/>
        </w:rPr>
      </w:pPr>
      <w:hyperlink w:anchor="_Toc483994451" w:history="1">
        <w:r w:rsidR="006728E8" w:rsidRPr="00477934">
          <w:rPr>
            <w:rStyle w:val="Hyperlink"/>
            <w:noProof/>
          </w:rPr>
          <w:t>2.8</w:t>
        </w:r>
        <w:r w:rsidR="006728E8">
          <w:rPr>
            <w:rFonts w:asciiTheme="minorHAnsi" w:eastAsiaTheme="minorEastAsia" w:hAnsiTheme="minorHAnsi" w:cstheme="minorBidi"/>
            <w:noProof/>
            <w:lang w:eastAsia="en-GB"/>
          </w:rPr>
          <w:tab/>
        </w:r>
        <w:r w:rsidR="006728E8" w:rsidRPr="00477934">
          <w:rPr>
            <w:rStyle w:val="Hyperlink"/>
            <w:noProof/>
          </w:rPr>
          <w:t>Principle 9: Market Stimulation and Development</w:t>
        </w:r>
        <w:r w:rsidR="006728E8">
          <w:rPr>
            <w:noProof/>
            <w:webHidden/>
          </w:rPr>
          <w:tab/>
        </w:r>
        <w:r w:rsidR="006728E8">
          <w:rPr>
            <w:noProof/>
            <w:webHidden/>
          </w:rPr>
          <w:fldChar w:fldCharType="begin"/>
        </w:r>
        <w:r w:rsidR="006728E8">
          <w:rPr>
            <w:noProof/>
            <w:webHidden/>
          </w:rPr>
          <w:instrText xml:space="preserve"> PAGEREF _Toc483994451 \h </w:instrText>
        </w:r>
        <w:r w:rsidR="006728E8">
          <w:rPr>
            <w:noProof/>
            <w:webHidden/>
          </w:rPr>
        </w:r>
        <w:r w:rsidR="006728E8">
          <w:rPr>
            <w:noProof/>
            <w:webHidden/>
          </w:rPr>
          <w:fldChar w:fldCharType="separate"/>
        </w:r>
        <w:r w:rsidR="006728E8">
          <w:rPr>
            <w:noProof/>
            <w:webHidden/>
          </w:rPr>
          <w:t>15</w:t>
        </w:r>
        <w:r w:rsidR="006728E8">
          <w:rPr>
            <w:noProof/>
            <w:webHidden/>
          </w:rPr>
          <w:fldChar w:fldCharType="end"/>
        </w:r>
      </w:hyperlink>
    </w:p>
    <w:p w:rsidR="006728E8" w:rsidRDefault="00C64715">
      <w:pPr>
        <w:pStyle w:val="TOC2"/>
        <w:tabs>
          <w:tab w:val="left" w:pos="880"/>
          <w:tab w:val="right" w:leader="dot" w:pos="9019"/>
        </w:tabs>
        <w:rPr>
          <w:rFonts w:asciiTheme="minorHAnsi" w:eastAsiaTheme="minorEastAsia" w:hAnsiTheme="minorHAnsi" w:cstheme="minorBidi"/>
          <w:noProof/>
          <w:lang w:eastAsia="en-GB"/>
        </w:rPr>
      </w:pPr>
      <w:hyperlink w:anchor="_Toc483994452" w:history="1">
        <w:r w:rsidR="006728E8" w:rsidRPr="00477934">
          <w:rPr>
            <w:rStyle w:val="Hyperlink"/>
            <w:noProof/>
          </w:rPr>
          <w:t>2.9</w:t>
        </w:r>
        <w:r w:rsidR="006728E8">
          <w:rPr>
            <w:rFonts w:asciiTheme="minorHAnsi" w:eastAsiaTheme="minorEastAsia" w:hAnsiTheme="minorHAnsi" w:cstheme="minorBidi"/>
            <w:noProof/>
            <w:lang w:eastAsia="en-GB"/>
          </w:rPr>
          <w:tab/>
        </w:r>
        <w:r w:rsidR="006728E8" w:rsidRPr="00477934">
          <w:rPr>
            <w:rStyle w:val="Hyperlink"/>
            <w:noProof/>
          </w:rPr>
          <w:t>Principle 10: Corporate Social Responsibility</w:t>
        </w:r>
        <w:r w:rsidR="006728E8">
          <w:rPr>
            <w:noProof/>
            <w:webHidden/>
          </w:rPr>
          <w:tab/>
        </w:r>
        <w:r w:rsidR="006728E8">
          <w:rPr>
            <w:noProof/>
            <w:webHidden/>
          </w:rPr>
          <w:fldChar w:fldCharType="begin"/>
        </w:r>
        <w:r w:rsidR="006728E8">
          <w:rPr>
            <w:noProof/>
            <w:webHidden/>
          </w:rPr>
          <w:instrText xml:space="preserve"> PAGEREF _Toc483994452 \h </w:instrText>
        </w:r>
        <w:r w:rsidR="006728E8">
          <w:rPr>
            <w:noProof/>
            <w:webHidden/>
          </w:rPr>
        </w:r>
        <w:r w:rsidR="006728E8">
          <w:rPr>
            <w:noProof/>
            <w:webHidden/>
          </w:rPr>
          <w:fldChar w:fldCharType="separate"/>
        </w:r>
        <w:r w:rsidR="006728E8">
          <w:rPr>
            <w:noProof/>
            <w:webHidden/>
          </w:rPr>
          <w:t>15</w:t>
        </w:r>
        <w:r w:rsidR="006728E8">
          <w:rPr>
            <w:noProof/>
            <w:webHidden/>
          </w:rPr>
          <w:fldChar w:fldCharType="end"/>
        </w:r>
      </w:hyperlink>
    </w:p>
    <w:p w:rsidR="006728E8" w:rsidRDefault="00C64715">
      <w:pPr>
        <w:pStyle w:val="TOC2"/>
        <w:tabs>
          <w:tab w:val="left" w:pos="880"/>
          <w:tab w:val="right" w:leader="dot" w:pos="9019"/>
        </w:tabs>
        <w:rPr>
          <w:rFonts w:asciiTheme="minorHAnsi" w:eastAsiaTheme="minorEastAsia" w:hAnsiTheme="minorHAnsi" w:cstheme="minorBidi"/>
          <w:noProof/>
          <w:lang w:eastAsia="en-GB"/>
        </w:rPr>
      </w:pPr>
      <w:hyperlink w:anchor="_Toc483994453" w:history="1">
        <w:r w:rsidR="006728E8" w:rsidRPr="00477934">
          <w:rPr>
            <w:rStyle w:val="Hyperlink"/>
            <w:noProof/>
          </w:rPr>
          <w:t>2.10</w:t>
        </w:r>
        <w:r w:rsidR="006728E8">
          <w:rPr>
            <w:rFonts w:asciiTheme="minorHAnsi" w:eastAsiaTheme="minorEastAsia" w:hAnsiTheme="minorHAnsi" w:cstheme="minorBidi"/>
            <w:noProof/>
            <w:lang w:eastAsia="en-GB"/>
          </w:rPr>
          <w:tab/>
        </w:r>
        <w:r w:rsidR="006728E8" w:rsidRPr="00477934">
          <w:rPr>
            <w:rStyle w:val="Hyperlink"/>
            <w:noProof/>
          </w:rPr>
          <w:t>Principle 11: Equalities</w:t>
        </w:r>
        <w:r w:rsidR="006728E8">
          <w:rPr>
            <w:noProof/>
            <w:webHidden/>
          </w:rPr>
          <w:tab/>
        </w:r>
        <w:r w:rsidR="006728E8">
          <w:rPr>
            <w:noProof/>
            <w:webHidden/>
          </w:rPr>
          <w:fldChar w:fldCharType="begin"/>
        </w:r>
        <w:r w:rsidR="006728E8">
          <w:rPr>
            <w:noProof/>
            <w:webHidden/>
          </w:rPr>
          <w:instrText xml:space="preserve"> PAGEREF _Toc483994453 \h </w:instrText>
        </w:r>
        <w:r w:rsidR="006728E8">
          <w:rPr>
            <w:noProof/>
            <w:webHidden/>
          </w:rPr>
        </w:r>
        <w:r w:rsidR="006728E8">
          <w:rPr>
            <w:noProof/>
            <w:webHidden/>
          </w:rPr>
          <w:fldChar w:fldCharType="separate"/>
        </w:r>
        <w:r w:rsidR="006728E8">
          <w:rPr>
            <w:noProof/>
            <w:webHidden/>
          </w:rPr>
          <w:t>15</w:t>
        </w:r>
        <w:r w:rsidR="006728E8">
          <w:rPr>
            <w:noProof/>
            <w:webHidden/>
          </w:rPr>
          <w:fldChar w:fldCharType="end"/>
        </w:r>
      </w:hyperlink>
    </w:p>
    <w:p w:rsidR="006728E8" w:rsidRDefault="00C64715">
      <w:pPr>
        <w:pStyle w:val="TOC1"/>
        <w:tabs>
          <w:tab w:val="left" w:pos="440"/>
          <w:tab w:val="right" w:leader="dot" w:pos="9019"/>
        </w:tabs>
        <w:rPr>
          <w:rFonts w:asciiTheme="minorHAnsi" w:eastAsiaTheme="minorEastAsia" w:hAnsiTheme="minorHAnsi" w:cstheme="minorBidi"/>
          <w:noProof/>
          <w:lang w:eastAsia="en-GB"/>
        </w:rPr>
      </w:pPr>
      <w:hyperlink w:anchor="_Toc483994454" w:history="1">
        <w:r w:rsidR="006728E8" w:rsidRPr="00477934">
          <w:rPr>
            <w:rStyle w:val="Hyperlink"/>
            <w:noProof/>
          </w:rPr>
          <w:t>3.</w:t>
        </w:r>
        <w:r w:rsidR="006728E8">
          <w:rPr>
            <w:rFonts w:asciiTheme="minorHAnsi" w:eastAsiaTheme="minorEastAsia" w:hAnsiTheme="minorHAnsi" w:cstheme="minorBidi"/>
            <w:noProof/>
            <w:lang w:eastAsia="en-GB"/>
          </w:rPr>
          <w:tab/>
        </w:r>
        <w:r w:rsidR="006728E8" w:rsidRPr="00477934">
          <w:rPr>
            <w:rStyle w:val="Hyperlink"/>
            <w:noProof/>
          </w:rPr>
          <w:t>Communication and Engagement</w:t>
        </w:r>
        <w:r w:rsidR="006728E8">
          <w:rPr>
            <w:noProof/>
            <w:webHidden/>
          </w:rPr>
          <w:tab/>
        </w:r>
        <w:r w:rsidR="006728E8">
          <w:rPr>
            <w:noProof/>
            <w:webHidden/>
          </w:rPr>
          <w:fldChar w:fldCharType="begin"/>
        </w:r>
        <w:r w:rsidR="006728E8">
          <w:rPr>
            <w:noProof/>
            <w:webHidden/>
          </w:rPr>
          <w:instrText xml:space="preserve"> PAGEREF _Toc483994454 \h </w:instrText>
        </w:r>
        <w:r w:rsidR="006728E8">
          <w:rPr>
            <w:noProof/>
            <w:webHidden/>
          </w:rPr>
        </w:r>
        <w:r w:rsidR="006728E8">
          <w:rPr>
            <w:noProof/>
            <w:webHidden/>
          </w:rPr>
          <w:fldChar w:fldCharType="separate"/>
        </w:r>
        <w:r w:rsidR="006728E8">
          <w:rPr>
            <w:noProof/>
            <w:webHidden/>
          </w:rPr>
          <w:t>15</w:t>
        </w:r>
        <w:r w:rsidR="006728E8">
          <w:rPr>
            <w:noProof/>
            <w:webHidden/>
          </w:rPr>
          <w:fldChar w:fldCharType="end"/>
        </w:r>
      </w:hyperlink>
    </w:p>
    <w:p w:rsidR="006728E8" w:rsidRDefault="00C64715">
      <w:pPr>
        <w:pStyle w:val="TOC2"/>
        <w:tabs>
          <w:tab w:val="left" w:pos="880"/>
          <w:tab w:val="right" w:leader="dot" w:pos="9019"/>
        </w:tabs>
        <w:rPr>
          <w:rFonts w:asciiTheme="minorHAnsi" w:eastAsiaTheme="minorEastAsia" w:hAnsiTheme="minorHAnsi" w:cstheme="minorBidi"/>
          <w:noProof/>
          <w:lang w:eastAsia="en-GB"/>
        </w:rPr>
      </w:pPr>
      <w:hyperlink w:anchor="_Toc483994455" w:history="1">
        <w:r w:rsidR="006728E8" w:rsidRPr="00477934">
          <w:rPr>
            <w:rStyle w:val="Hyperlink"/>
            <w:noProof/>
          </w:rPr>
          <w:t>3.1</w:t>
        </w:r>
        <w:r w:rsidR="006728E8">
          <w:rPr>
            <w:rFonts w:asciiTheme="minorHAnsi" w:eastAsiaTheme="minorEastAsia" w:hAnsiTheme="minorHAnsi" w:cstheme="minorBidi"/>
            <w:noProof/>
            <w:lang w:eastAsia="en-GB"/>
          </w:rPr>
          <w:tab/>
        </w:r>
        <w:r w:rsidR="006728E8" w:rsidRPr="00477934">
          <w:rPr>
            <w:rStyle w:val="Hyperlink"/>
            <w:noProof/>
          </w:rPr>
          <w:t>Who are our Customers?</w:t>
        </w:r>
        <w:r w:rsidR="006728E8">
          <w:rPr>
            <w:noProof/>
            <w:webHidden/>
          </w:rPr>
          <w:tab/>
        </w:r>
        <w:r w:rsidR="006728E8">
          <w:rPr>
            <w:noProof/>
            <w:webHidden/>
          </w:rPr>
          <w:fldChar w:fldCharType="begin"/>
        </w:r>
        <w:r w:rsidR="006728E8">
          <w:rPr>
            <w:noProof/>
            <w:webHidden/>
          </w:rPr>
          <w:instrText xml:space="preserve"> PAGEREF _Toc483994455 \h </w:instrText>
        </w:r>
        <w:r w:rsidR="006728E8">
          <w:rPr>
            <w:noProof/>
            <w:webHidden/>
          </w:rPr>
        </w:r>
        <w:r w:rsidR="006728E8">
          <w:rPr>
            <w:noProof/>
            <w:webHidden/>
          </w:rPr>
          <w:fldChar w:fldCharType="separate"/>
        </w:r>
        <w:r w:rsidR="006728E8">
          <w:rPr>
            <w:noProof/>
            <w:webHidden/>
          </w:rPr>
          <w:t>15</w:t>
        </w:r>
        <w:r w:rsidR="006728E8">
          <w:rPr>
            <w:noProof/>
            <w:webHidden/>
          </w:rPr>
          <w:fldChar w:fldCharType="end"/>
        </w:r>
      </w:hyperlink>
    </w:p>
    <w:p w:rsidR="006728E8" w:rsidRDefault="00C64715">
      <w:pPr>
        <w:pStyle w:val="TOC1"/>
        <w:tabs>
          <w:tab w:val="left" w:pos="440"/>
          <w:tab w:val="right" w:leader="dot" w:pos="9019"/>
        </w:tabs>
        <w:rPr>
          <w:rFonts w:asciiTheme="minorHAnsi" w:eastAsiaTheme="minorEastAsia" w:hAnsiTheme="minorHAnsi" w:cstheme="minorBidi"/>
          <w:noProof/>
          <w:lang w:eastAsia="en-GB"/>
        </w:rPr>
      </w:pPr>
      <w:hyperlink w:anchor="_Toc483994456" w:history="1">
        <w:r w:rsidR="006728E8" w:rsidRPr="00477934">
          <w:rPr>
            <w:rStyle w:val="Hyperlink"/>
            <w:noProof/>
          </w:rPr>
          <w:t>4.</w:t>
        </w:r>
        <w:r w:rsidR="006728E8">
          <w:rPr>
            <w:rFonts w:asciiTheme="minorHAnsi" w:eastAsiaTheme="minorEastAsia" w:hAnsiTheme="minorHAnsi" w:cstheme="minorBidi"/>
            <w:noProof/>
            <w:lang w:eastAsia="en-GB"/>
          </w:rPr>
          <w:tab/>
        </w:r>
        <w:r w:rsidR="006728E8" w:rsidRPr="00477934">
          <w:rPr>
            <w:rStyle w:val="Hyperlink"/>
            <w:noProof/>
          </w:rPr>
          <w:t>Strategic Commissioning Objectives:</w:t>
        </w:r>
        <w:r w:rsidR="006728E8">
          <w:rPr>
            <w:noProof/>
            <w:webHidden/>
          </w:rPr>
          <w:tab/>
        </w:r>
        <w:r w:rsidR="006728E8">
          <w:rPr>
            <w:noProof/>
            <w:webHidden/>
          </w:rPr>
          <w:fldChar w:fldCharType="begin"/>
        </w:r>
        <w:r w:rsidR="006728E8">
          <w:rPr>
            <w:noProof/>
            <w:webHidden/>
          </w:rPr>
          <w:instrText xml:space="preserve"> PAGEREF _Toc483994456 \h </w:instrText>
        </w:r>
        <w:r w:rsidR="006728E8">
          <w:rPr>
            <w:noProof/>
            <w:webHidden/>
          </w:rPr>
        </w:r>
        <w:r w:rsidR="006728E8">
          <w:rPr>
            <w:noProof/>
            <w:webHidden/>
          </w:rPr>
          <w:fldChar w:fldCharType="separate"/>
        </w:r>
        <w:r w:rsidR="006728E8">
          <w:rPr>
            <w:noProof/>
            <w:webHidden/>
          </w:rPr>
          <w:t>17</w:t>
        </w:r>
        <w:r w:rsidR="006728E8">
          <w:rPr>
            <w:noProof/>
            <w:webHidden/>
          </w:rPr>
          <w:fldChar w:fldCharType="end"/>
        </w:r>
      </w:hyperlink>
    </w:p>
    <w:p w:rsidR="006728E8" w:rsidRDefault="00C64715">
      <w:pPr>
        <w:pStyle w:val="TOC1"/>
        <w:tabs>
          <w:tab w:val="left" w:pos="440"/>
          <w:tab w:val="right" w:leader="dot" w:pos="9019"/>
        </w:tabs>
        <w:rPr>
          <w:rFonts w:asciiTheme="minorHAnsi" w:eastAsiaTheme="minorEastAsia" w:hAnsiTheme="minorHAnsi" w:cstheme="minorBidi"/>
          <w:noProof/>
          <w:lang w:eastAsia="en-GB"/>
        </w:rPr>
      </w:pPr>
      <w:hyperlink w:anchor="_Toc483994457" w:history="1">
        <w:r w:rsidR="006728E8" w:rsidRPr="00477934">
          <w:rPr>
            <w:rStyle w:val="Hyperlink"/>
            <w:noProof/>
          </w:rPr>
          <w:t>5.</w:t>
        </w:r>
        <w:r w:rsidR="006728E8">
          <w:rPr>
            <w:rFonts w:asciiTheme="minorHAnsi" w:eastAsiaTheme="minorEastAsia" w:hAnsiTheme="minorHAnsi" w:cstheme="minorBidi"/>
            <w:noProof/>
            <w:lang w:eastAsia="en-GB"/>
          </w:rPr>
          <w:tab/>
        </w:r>
        <w:r w:rsidR="006728E8" w:rsidRPr="00477934">
          <w:rPr>
            <w:rStyle w:val="Hyperlink"/>
            <w:noProof/>
          </w:rPr>
          <w:t>Approach to Strategic Planning</w:t>
        </w:r>
        <w:r w:rsidR="006728E8">
          <w:rPr>
            <w:noProof/>
            <w:webHidden/>
          </w:rPr>
          <w:tab/>
        </w:r>
        <w:r w:rsidR="006728E8">
          <w:rPr>
            <w:noProof/>
            <w:webHidden/>
          </w:rPr>
          <w:fldChar w:fldCharType="begin"/>
        </w:r>
        <w:r w:rsidR="006728E8">
          <w:rPr>
            <w:noProof/>
            <w:webHidden/>
          </w:rPr>
          <w:instrText xml:space="preserve"> PAGEREF _Toc483994457 \h </w:instrText>
        </w:r>
        <w:r w:rsidR="006728E8">
          <w:rPr>
            <w:noProof/>
            <w:webHidden/>
          </w:rPr>
        </w:r>
        <w:r w:rsidR="006728E8">
          <w:rPr>
            <w:noProof/>
            <w:webHidden/>
          </w:rPr>
          <w:fldChar w:fldCharType="separate"/>
        </w:r>
        <w:r w:rsidR="006728E8">
          <w:rPr>
            <w:noProof/>
            <w:webHidden/>
          </w:rPr>
          <w:t>17</w:t>
        </w:r>
        <w:r w:rsidR="006728E8">
          <w:rPr>
            <w:noProof/>
            <w:webHidden/>
          </w:rPr>
          <w:fldChar w:fldCharType="end"/>
        </w:r>
      </w:hyperlink>
    </w:p>
    <w:p w:rsidR="006728E8" w:rsidRDefault="00C64715">
      <w:pPr>
        <w:pStyle w:val="TOC2"/>
        <w:tabs>
          <w:tab w:val="left" w:pos="880"/>
          <w:tab w:val="right" w:leader="dot" w:pos="9019"/>
        </w:tabs>
        <w:rPr>
          <w:rFonts w:asciiTheme="minorHAnsi" w:eastAsiaTheme="minorEastAsia" w:hAnsiTheme="minorHAnsi" w:cstheme="minorBidi"/>
          <w:noProof/>
          <w:lang w:eastAsia="en-GB"/>
        </w:rPr>
      </w:pPr>
      <w:hyperlink w:anchor="_Toc483994458" w:history="1">
        <w:r w:rsidR="006728E8" w:rsidRPr="00477934">
          <w:rPr>
            <w:rStyle w:val="Hyperlink"/>
            <w:noProof/>
          </w:rPr>
          <w:t xml:space="preserve">5.1 </w:t>
        </w:r>
        <w:r w:rsidR="006728E8">
          <w:rPr>
            <w:rFonts w:asciiTheme="minorHAnsi" w:eastAsiaTheme="minorEastAsia" w:hAnsiTheme="minorHAnsi" w:cstheme="minorBidi"/>
            <w:noProof/>
            <w:lang w:eastAsia="en-GB"/>
          </w:rPr>
          <w:tab/>
        </w:r>
        <w:r w:rsidR="006728E8" w:rsidRPr="00477934">
          <w:rPr>
            <w:rStyle w:val="Hyperlink"/>
            <w:noProof/>
          </w:rPr>
          <w:t>Public health grant 2017/18 to 2020/21</w:t>
        </w:r>
        <w:r w:rsidR="006728E8">
          <w:rPr>
            <w:noProof/>
            <w:webHidden/>
          </w:rPr>
          <w:tab/>
        </w:r>
        <w:r w:rsidR="006728E8">
          <w:rPr>
            <w:noProof/>
            <w:webHidden/>
          </w:rPr>
          <w:fldChar w:fldCharType="begin"/>
        </w:r>
        <w:r w:rsidR="006728E8">
          <w:rPr>
            <w:noProof/>
            <w:webHidden/>
          </w:rPr>
          <w:instrText xml:space="preserve"> PAGEREF _Toc483994458 \h </w:instrText>
        </w:r>
        <w:r w:rsidR="006728E8">
          <w:rPr>
            <w:noProof/>
            <w:webHidden/>
          </w:rPr>
        </w:r>
        <w:r w:rsidR="006728E8">
          <w:rPr>
            <w:noProof/>
            <w:webHidden/>
          </w:rPr>
          <w:fldChar w:fldCharType="separate"/>
        </w:r>
        <w:r w:rsidR="006728E8">
          <w:rPr>
            <w:noProof/>
            <w:webHidden/>
          </w:rPr>
          <w:t>18</w:t>
        </w:r>
        <w:r w:rsidR="006728E8">
          <w:rPr>
            <w:noProof/>
            <w:webHidden/>
          </w:rPr>
          <w:fldChar w:fldCharType="end"/>
        </w:r>
      </w:hyperlink>
    </w:p>
    <w:p w:rsidR="006728E8" w:rsidRDefault="00C64715">
      <w:pPr>
        <w:pStyle w:val="TOC2"/>
        <w:tabs>
          <w:tab w:val="left" w:pos="880"/>
          <w:tab w:val="right" w:leader="dot" w:pos="9019"/>
        </w:tabs>
        <w:rPr>
          <w:rFonts w:asciiTheme="minorHAnsi" w:eastAsiaTheme="minorEastAsia" w:hAnsiTheme="minorHAnsi" w:cstheme="minorBidi"/>
          <w:noProof/>
          <w:lang w:eastAsia="en-GB"/>
        </w:rPr>
      </w:pPr>
      <w:hyperlink w:anchor="_Toc483994464" w:history="1">
        <w:r w:rsidR="006728E8" w:rsidRPr="00477934">
          <w:rPr>
            <w:rStyle w:val="Hyperlink"/>
            <w:noProof/>
          </w:rPr>
          <w:t>5.2</w:t>
        </w:r>
        <w:r w:rsidR="006728E8">
          <w:rPr>
            <w:rFonts w:asciiTheme="minorHAnsi" w:eastAsiaTheme="minorEastAsia" w:hAnsiTheme="minorHAnsi" w:cstheme="minorBidi"/>
            <w:noProof/>
            <w:lang w:eastAsia="en-GB"/>
          </w:rPr>
          <w:tab/>
        </w:r>
        <w:r w:rsidR="006728E8" w:rsidRPr="00477934">
          <w:rPr>
            <w:rStyle w:val="Hyperlink"/>
            <w:noProof/>
          </w:rPr>
          <w:t>Proposed changes to start 2018/19</w:t>
        </w:r>
        <w:r w:rsidR="006728E8">
          <w:rPr>
            <w:noProof/>
            <w:webHidden/>
          </w:rPr>
          <w:tab/>
        </w:r>
        <w:r w:rsidR="006728E8">
          <w:rPr>
            <w:noProof/>
            <w:webHidden/>
          </w:rPr>
          <w:fldChar w:fldCharType="begin"/>
        </w:r>
        <w:r w:rsidR="006728E8">
          <w:rPr>
            <w:noProof/>
            <w:webHidden/>
          </w:rPr>
          <w:instrText xml:space="preserve"> PAGEREF _Toc483994464 \h </w:instrText>
        </w:r>
        <w:r w:rsidR="006728E8">
          <w:rPr>
            <w:noProof/>
            <w:webHidden/>
          </w:rPr>
        </w:r>
        <w:r w:rsidR="006728E8">
          <w:rPr>
            <w:noProof/>
            <w:webHidden/>
          </w:rPr>
          <w:fldChar w:fldCharType="separate"/>
        </w:r>
        <w:r w:rsidR="006728E8">
          <w:rPr>
            <w:noProof/>
            <w:webHidden/>
          </w:rPr>
          <w:t>20</w:t>
        </w:r>
        <w:r w:rsidR="006728E8">
          <w:rPr>
            <w:noProof/>
            <w:webHidden/>
          </w:rPr>
          <w:fldChar w:fldCharType="end"/>
        </w:r>
      </w:hyperlink>
    </w:p>
    <w:p w:rsidR="006728E8" w:rsidRDefault="00C64715">
      <w:pPr>
        <w:pStyle w:val="TOC2"/>
        <w:tabs>
          <w:tab w:val="left" w:pos="880"/>
          <w:tab w:val="right" w:leader="dot" w:pos="9019"/>
        </w:tabs>
        <w:rPr>
          <w:rFonts w:asciiTheme="minorHAnsi" w:eastAsiaTheme="minorEastAsia" w:hAnsiTheme="minorHAnsi" w:cstheme="minorBidi"/>
          <w:noProof/>
          <w:lang w:eastAsia="en-GB"/>
        </w:rPr>
      </w:pPr>
      <w:hyperlink w:anchor="_Toc483994465" w:history="1">
        <w:r w:rsidR="006728E8" w:rsidRPr="00477934">
          <w:rPr>
            <w:rStyle w:val="Hyperlink"/>
            <w:noProof/>
          </w:rPr>
          <w:t xml:space="preserve">5.3 </w:t>
        </w:r>
        <w:r w:rsidR="006728E8">
          <w:rPr>
            <w:rFonts w:asciiTheme="minorHAnsi" w:eastAsiaTheme="minorEastAsia" w:hAnsiTheme="minorHAnsi" w:cstheme="minorBidi"/>
            <w:noProof/>
            <w:lang w:eastAsia="en-GB"/>
          </w:rPr>
          <w:tab/>
        </w:r>
        <w:r w:rsidR="006728E8" w:rsidRPr="00477934">
          <w:rPr>
            <w:rStyle w:val="Hyperlink"/>
            <w:noProof/>
          </w:rPr>
          <w:t>Overall Impact on the Public Health Grant Spend</w:t>
        </w:r>
        <w:r w:rsidR="006728E8">
          <w:rPr>
            <w:noProof/>
            <w:webHidden/>
          </w:rPr>
          <w:tab/>
        </w:r>
        <w:r w:rsidR="006728E8">
          <w:rPr>
            <w:noProof/>
            <w:webHidden/>
          </w:rPr>
          <w:fldChar w:fldCharType="begin"/>
        </w:r>
        <w:r w:rsidR="006728E8">
          <w:rPr>
            <w:noProof/>
            <w:webHidden/>
          </w:rPr>
          <w:instrText xml:space="preserve"> PAGEREF _Toc483994465 \h </w:instrText>
        </w:r>
        <w:r w:rsidR="006728E8">
          <w:rPr>
            <w:noProof/>
            <w:webHidden/>
          </w:rPr>
        </w:r>
        <w:r w:rsidR="006728E8">
          <w:rPr>
            <w:noProof/>
            <w:webHidden/>
          </w:rPr>
          <w:fldChar w:fldCharType="separate"/>
        </w:r>
        <w:r w:rsidR="006728E8">
          <w:rPr>
            <w:noProof/>
            <w:webHidden/>
          </w:rPr>
          <w:t>33</w:t>
        </w:r>
        <w:r w:rsidR="006728E8">
          <w:rPr>
            <w:noProof/>
            <w:webHidden/>
          </w:rPr>
          <w:fldChar w:fldCharType="end"/>
        </w:r>
      </w:hyperlink>
    </w:p>
    <w:p w:rsidR="006728E8" w:rsidRDefault="00C64715">
      <w:pPr>
        <w:pStyle w:val="TOC2"/>
        <w:tabs>
          <w:tab w:val="left" w:pos="880"/>
          <w:tab w:val="right" w:leader="dot" w:pos="9019"/>
        </w:tabs>
        <w:rPr>
          <w:rFonts w:asciiTheme="minorHAnsi" w:eastAsiaTheme="minorEastAsia" w:hAnsiTheme="minorHAnsi" w:cstheme="minorBidi"/>
          <w:noProof/>
          <w:lang w:eastAsia="en-GB"/>
        </w:rPr>
      </w:pPr>
      <w:hyperlink w:anchor="_Toc483994466" w:history="1">
        <w:r w:rsidR="006728E8" w:rsidRPr="00477934">
          <w:rPr>
            <w:rStyle w:val="Hyperlink"/>
            <w:noProof/>
          </w:rPr>
          <w:t>5.4</w:t>
        </w:r>
        <w:r w:rsidR="006728E8">
          <w:rPr>
            <w:rFonts w:asciiTheme="minorHAnsi" w:eastAsiaTheme="minorEastAsia" w:hAnsiTheme="minorHAnsi" w:cstheme="minorBidi"/>
            <w:noProof/>
            <w:lang w:eastAsia="en-GB"/>
          </w:rPr>
          <w:tab/>
        </w:r>
        <w:r w:rsidR="006728E8" w:rsidRPr="00477934">
          <w:rPr>
            <w:rStyle w:val="Hyperlink"/>
            <w:noProof/>
          </w:rPr>
          <w:t>Proposed changes to start 2019/20 or later</w:t>
        </w:r>
        <w:r w:rsidR="006728E8">
          <w:rPr>
            <w:noProof/>
            <w:webHidden/>
          </w:rPr>
          <w:tab/>
        </w:r>
        <w:r w:rsidR="006728E8">
          <w:rPr>
            <w:noProof/>
            <w:webHidden/>
          </w:rPr>
          <w:fldChar w:fldCharType="begin"/>
        </w:r>
        <w:r w:rsidR="006728E8">
          <w:rPr>
            <w:noProof/>
            <w:webHidden/>
          </w:rPr>
          <w:instrText xml:space="preserve"> PAGEREF _Toc483994466 \h </w:instrText>
        </w:r>
        <w:r w:rsidR="006728E8">
          <w:rPr>
            <w:noProof/>
            <w:webHidden/>
          </w:rPr>
        </w:r>
        <w:r w:rsidR="006728E8">
          <w:rPr>
            <w:noProof/>
            <w:webHidden/>
          </w:rPr>
          <w:fldChar w:fldCharType="separate"/>
        </w:r>
        <w:r w:rsidR="006728E8">
          <w:rPr>
            <w:noProof/>
            <w:webHidden/>
          </w:rPr>
          <w:t>34</w:t>
        </w:r>
        <w:r w:rsidR="006728E8">
          <w:rPr>
            <w:noProof/>
            <w:webHidden/>
          </w:rPr>
          <w:fldChar w:fldCharType="end"/>
        </w:r>
      </w:hyperlink>
    </w:p>
    <w:p w:rsidR="006728E8" w:rsidRDefault="00C64715">
      <w:pPr>
        <w:pStyle w:val="TOC2"/>
        <w:tabs>
          <w:tab w:val="left" w:pos="880"/>
          <w:tab w:val="right" w:leader="dot" w:pos="9019"/>
        </w:tabs>
        <w:rPr>
          <w:rFonts w:asciiTheme="minorHAnsi" w:eastAsiaTheme="minorEastAsia" w:hAnsiTheme="minorHAnsi" w:cstheme="minorBidi"/>
          <w:noProof/>
          <w:lang w:eastAsia="en-GB"/>
        </w:rPr>
      </w:pPr>
      <w:hyperlink w:anchor="_Toc483994467" w:history="1">
        <w:r w:rsidR="006728E8" w:rsidRPr="00477934">
          <w:rPr>
            <w:rStyle w:val="Hyperlink"/>
            <w:noProof/>
          </w:rPr>
          <w:t>5.5</w:t>
        </w:r>
        <w:r w:rsidR="006728E8">
          <w:rPr>
            <w:rFonts w:asciiTheme="minorHAnsi" w:eastAsiaTheme="minorEastAsia" w:hAnsiTheme="minorHAnsi" w:cstheme="minorBidi"/>
            <w:noProof/>
            <w:lang w:eastAsia="en-GB"/>
          </w:rPr>
          <w:tab/>
        </w:r>
        <w:r w:rsidR="006728E8" w:rsidRPr="00477934">
          <w:rPr>
            <w:rStyle w:val="Hyperlink"/>
            <w:noProof/>
          </w:rPr>
          <w:t>Key risks and issues</w:t>
        </w:r>
        <w:r w:rsidR="006728E8">
          <w:rPr>
            <w:noProof/>
            <w:webHidden/>
          </w:rPr>
          <w:tab/>
        </w:r>
        <w:r w:rsidR="006728E8">
          <w:rPr>
            <w:noProof/>
            <w:webHidden/>
          </w:rPr>
          <w:fldChar w:fldCharType="begin"/>
        </w:r>
        <w:r w:rsidR="006728E8">
          <w:rPr>
            <w:noProof/>
            <w:webHidden/>
          </w:rPr>
          <w:instrText xml:space="preserve"> PAGEREF _Toc483994467 \h </w:instrText>
        </w:r>
        <w:r w:rsidR="006728E8">
          <w:rPr>
            <w:noProof/>
            <w:webHidden/>
          </w:rPr>
        </w:r>
        <w:r w:rsidR="006728E8">
          <w:rPr>
            <w:noProof/>
            <w:webHidden/>
          </w:rPr>
          <w:fldChar w:fldCharType="separate"/>
        </w:r>
        <w:r w:rsidR="006728E8">
          <w:rPr>
            <w:noProof/>
            <w:webHidden/>
          </w:rPr>
          <w:t>34</w:t>
        </w:r>
        <w:r w:rsidR="006728E8">
          <w:rPr>
            <w:noProof/>
            <w:webHidden/>
          </w:rPr>
          <w:fldChar w:fldCharType="end"/>
        </w:r>
      </w:hyperlink>
    </w:p>
    <w:p w:rsidR="006728E8" w:rsidRDefault="00C64715">
      <w:pPr>
        <w:pStyle w:val="TOC1"/>
        <w:tabs>
          <w:tab w:val="left" w:pos="440"/>
          <w:tab w:val="right" w:leader="dot" w:pos="9019"/>
        </w:tabs>
        <w:rPr>
          <w:rFonts w:asciiTheme="minorHAnsi" w:eastAsiaTheme="minorEastAsia" w:hAnsiTheme="minorHAnsi" w:cstheme="minorBidi"/>
          <w:noProof/>
          <w:lang w:eastAsia="en-GB"/>
        </w:rPr>
      </w:pPr>
      <w:hyperlink w:anchor="_Toc483994468" w:history="1">
        <w:r w:rsidR="006728E8" w:rsidRPr="00477934">
          <w:rPr>
            <w:rStyle w:val="Hyperlink"/>
            <w:rFonts w:cs="Arial"/>
            <w:noProof/>
          </w:rPr>
          <w:t>6.</w:t>
        </w:r>
        <w:r w:rsidR="006728E8">
          <w:rPr>
            <w:rFonts w:asciiTheme="minorHAnsi" w:eastAsiaTheme="minorEastAsia" w:hAnsiTheme="minorHAnsi" w:cstheme="minorBidi"/>
            <w:noProof/>
            <w:lang w:eastAsia="en-GB"/>
          </w:rPr>
          <w:tab/>
        </w:r>
        <w:r w:rsidR="006728E8" w:rsidRPr="00477934">
          <w:rPr>
            <w:rStyle w:val="Hyperlink"/>
            <w:noProof/>
          </w:rPr>
          <w:t>Conclusion</w:t>
        </w:r>
        <w:r w:rsidR="006728E8">
          <w:rPr>
            <w:noProof/>
            <w:webHidden/>
          </w:rPr>
          <w:tab/>
        </w:r>
        <w:r w:rsidR="006728E8">
          <w:rPr>
            <w:noProof/>
            <w:webHidden/>
          </w:rPr>
          <w:fldChar w:fldCharType="begin"/>
        </w:r>
        <w:r w:rsidR="006728E8">
          <w:rPr>
            <w:noProof/>
            <w:webHidden/>
          </w:rPr>
          <w:instrText xml:space="preserve"> PAGEREF _Toc483994468 \h </w:instrText>
        </w:r>
        <w:r w:rsidR="006728E8">
          <w:rPr>
            <w:noProof/>
            <w:webHidden/>
          </w:rPr>
        </w:r>
        <w:r w:rsidR="006728E8">
          <w:rPr>
            <w:noProof/>
            <w:webHidden/>
          </w:rPr>
          <w:fldChar w:fldCharType="separate"/>
        </w:r>
        <w:r w:rsidR="006728E8">
          <w:rPr>
            <w:noProof/>
            <w:webHidden/>
          </w:rPr>
          <w:t>35</w:t>
        </w:r>
        <w:r w:rsidR="006728E8">
          <w:rPr>
            <w:noProof/>
            <w:webHidden/>
          </w:rPr>
          <w:fldChar w:fldCharType="end"/>
        </w:r>
      </w:hyperlink>
    </w:p>
    <w:p w:rsidR="00EF3D98" w:rsidRPr="00EF3D98" w:rsidRDefault="00EF3D98" w:rsidP="00EF3D98">
      <w:pPr>
        <w:overflowPunct/>
        <w:autoSpaceDE/>
        <w:autoSpaceDN/>
        <w:adjustRightInd/>
        <w:spacing w:after="200" w:line="276" w:lineRule="auto"/>
        <w:textAlignment w:val="auto"/>
        <w:rPr>
          <w:rFonts w:ascii="Calibri" w:eastAsia="Calibri" w:hAnsi="Calibri"/>
          <w:sz w:val="22"/>
          <w:szCs w:val="22"/>
          <w:lang w:val="en-GB"/>
        </w:rPr>
      </w:pPr>
      <w:r w:rsidRPr="00EF3D98">
        <w:rPr>
          <w:rFonts w:ascii="Calibri" w:eastAsia="Calibri" w:hAnsi="Calibri"/>
          <w:sz w:val="22"/>
          <w:szCs w:val="22"/>
          <w:lang w:val="en-GB"/>
        </w:rPr>
        <w:fldChar w:fldCharType="end"/>
      </w:r>
    </w:p>
    <w:p w:rsidR="001D4F05" w:rsidRDefault="00EF3D98" w:rsidP="00EF3D98">
      <w:pPr>
        <w:overflowPunct/>
        <w:autoSpaceDE/>
        <w:autoSpaceDN/>
        <w:adjustRightInd/>
        <w:spacing w:after="200" w:line="276" w:lineRule="auto"/>
        <w:textAlignment w:val="auto"/>
        <w:rPr>
          <w:rFonts w:ascii="Calibri" w:eastAsia="Calibri" w:hAnsi="Calibri"/>
          <w:sz w:val="22"/>
          <w:szCs w:val="22"/>
          <w:lang w:val="en-GB"/>
        </w:rPr>
        <w:sectPr w:rsidR="001D4F05" w:rsidSect="00893B48">
          <w:headerReference w:type="default" r:id="rId10"/>
          <w:footerReference w:type="even" r:id="rId11"/>
          <w:footerReference w:type="default" r:id="rId12"/>
          <w:pgSz w:w="11909" w:h="16834"/>
          <w:pgMar w:top="1440" w:right="1440" w:bottom="1440" w:left="1440" w:header="706" w:footer="706" w:gutter="0"/>
          <w:pgNumType w:fmt="lowerRoman"/>
          <w:cols w:space="720"/>
          <w:titlePg/>
          <w:docGrid w:linePitch="326"/>
        </w:sectPr>
      </w:pPr>
      <w:r w:rsidRPr="00EF3D98">
        <w:rPr>
          <w:rFonts w:ascii="Calibri" w:eastAsia="Calibri" w:hAnsi="Calibri"/>
          <w:sz w:val="22"/>
          <w:szCs w:val="22"/>
          <w:lang w:val="en-GB"/>
        </w:rPr>
        <w:br w:type="page"/>
      </w:r>
    </w:p>
    <w:p w:rsidR="00EF3D98" w:rsidRPr="000613F5" w:rsidRDefault="00EF3D98" w:rsidP="007479C3">
      <w:pPr>
        <w:pStyle w:val="Heading1"/>
        <w:numPr>
          <w:ilvl w:val="0"/>
          <w:numId w:val="4"/>
        </w:numPr>
        <w:rPr>
          <w:color w:val="C00000"/>
        </w:rPr>
      </w:pPr>
      <w:bookmarkStart w:id="1" w:name="_Toc483994439"/>
      <w:r w:rsidRPr="000613F5">
        <w:rPr>
          <w:color w:val="C00000"/>
        </w:rPr>
        <w:lastRenderedPageBreak/>
        <w:t>Introduction</w:t>
      </w:r>
      <w:bookmarkEnd w:id="1"/>
    </w:p>
    <w:p w:rsidR="00EF3D98" w:rsidRDefault="00EF3D98" w:rsidP="00EF3D98">
      <w:pPr>
        <w:overflowPunct/>
        <w:autoSpaceDE/>
        <w:autoSpaceDN/>
        <w:adjustRightInd/>
        <w:spacing w:after="200" w:line="276" w:lineRule="auto"/>
        <w:textAlignment w:val="auto"/>
        <w:rPr>
          <w:rFonts w:eastAsia="Calibri" w:cs="Arial"/>
          <w:szCs w:val="24"/>
          <w:lang w:val="en-GB"/>
        </w:rPr>
      </w:pPr>
    </w:p>
    <w:p w:rsidR="005F0235" w:rsidRPr="00E96392" w:rsidRDefault="00EF3D98" w:rsidP="00893B48">
      <w:pPr>
        <w:overflowPunct/>
        <w:autoSpaceDE/>
        <w:autoSpaceDN/>
        <w:adjustRightInd/>
        <w:spacing w:after="200" w:line="276" w:lineRule="auto"/>
        <w:jc w:val="both"/>
        <w:textAlignment w:val="auto"/>
        <w:rPr>
          <w:rFonts w:eastAsia="Calibri" w:cs="Arial"/>
          <w:sz w:val="22"/>
          <w:szCs w:val="22"/>
          <w:lang w:val="en-GB"/>
        </w:rPr>
      </w:pPr>
      <w:r w:rsidRPr="005F0235">
        <w:rPr>
          <w:rFonts w:eastAsia="Calibri" w:cs="Arial"/>
          <w:sz w:val="22"/>
          <w:szCs w:val="22"/>
          <w:lang w:val="en-GB"/>
        </w:rPr>
        <w:t xml:space="preserve">The purpose of this strategy is to </w:t>
      </w:r>
      <w:r w:rsidR="007B2AA6" w:rsidRPr="005F0235">
        <w:rPr>
          <w:rFonts w:eastAsia="Calibri" w:cs="Arial"/>
          <w:sz w:val="22"/>
          <w:szCs w:val="22"/>
          <w:lang w:val="en-GB"/>
        </w:rPr>
        <w:t xml:space="preserve">describe how the commissioning activity of the </w:t>
      </w:r>
      <w:r w:rsidR="00E1797B">
        <w:rPr>
          <w:rFonts w:eastAsia="Calibri" w:cs="Arial"/>
          <w:sz w:val="22"/>
          <w:szCs w:val="22"/>
          <w:lang w:val="en-GB"/>
        </w:rPr>
        <w:t>P</w:t>
      </w:r>
      <w:r w:rsidR="007B2AA6" w:rsidRPr="005F0235">
        <w:rPr>
          <w:rFonts w:eastAsia="Calibri" w:cs="Arial"/>
          <w:sz w:val="22"/>
          <w:szCs w:val="22"/>
          <w:lang w:val="en-GB"/>
        </w:rPr>
        <w:t xml:space="preserve">ublic </w:t>
      </w:r>
      <w:r w:rsidR="00E1797B">
        <w:rPr>
          <w:rFonts w:eastAsia="Calibri" w:cs="Arial"/>
          <w:sz w:val="22"/>
          <w:szCs w:val="22"/>
          <w:lang w:val="en-GB"/>
        </w:rPr>
        <w:t>H</w:t>
      </w:r>
      <w:r w:rsidR="007B2AA6" w:rsidRPr="005F0235">
        <w:rPr>
          <w:rFonts w:eastAsia="Calibri" w:cs="Arial"/>
          <w:sz w:val="22"/>
          <w:szCs w:val="22"/>
          <w:lang w:val="en-GB"/>
        </w:rPr>
        <w:t xml:space="preserve">ealth </w:t>
      </w:r>
      <w:r w:rsidR="00DB432D">
        <w:rPr>
          <w:rFonts w:eastAsia="Calibri" w:cs="Arial"/>
          <w:sz w:val="22"/>
          <w:szCs w:val="22"/>
          <w:lang w:val="en-GB"/>
        </w:rPr>
        <w:t>t</w:t>
      </w:r>
      <w:r w:rsidR="00E1797B">
        <w:rPr>
          <w:rFonts w:eastAsia="Calibri" w:cs="Arial"/>
          <w:sz w:val="22"/>
          <w:szCs w:val="22"/>
          <w:lang w:val="en-GB"/>
        </w:rPr>
        <w:t>eam</w:t>
      </w:r>
      <w:r w:rsidR="00E1797B" w:rsidRPr="005F0235">
        <w:rPr>
          <w:rFonts w:eastAsia="Calibri" w:cs="Arial"/>
          <w:sz w:val="22"/>
          <w:szCs w:val="22"/>
          <w:lang w:val="en-GB"/>
        </w:rPr>
        <w:t xml:space="preserve"> </w:t>
      </w:r>
      <w:r w:rsidR="007B2AA6" w:rsidRPr="005F0235">
        <w:rPr>
          <w:rFonts w:eastAsia="Calibri" w:cs="Arial"/>
          <w:sz w:val="22"/>
          <w:szCs w:val="22"/>
          <w:lang w:val="en-GB"/>
        </w:rPr>
        <w:t>contributes to improving healthy life expectancy and improves the health of the poorest fastest in Doncaster.</w:t>
      </w:r>
    </w:p>
    <w:p w:rsidR="005F0235" w:rsidRPr="005F0235" w:rsidRDefault="00341D2C" w:rsidP="005F0235">
      <w:pPr>
        <w:pStyle w:val="Heading2"/>
      </w:pPr>
      <w:bookmarkStart w:id="2" w:name="_Toc483994440"/>
      <w:r>
        <w:t xml:space="preserve">1.1 </w:t>
      </w:r>
      <w:r>
        <w:tab/>
      </w:r>
      <w:r w:rsidR="005F0235" w:rsidRPr="005F0235">
        <w:t>Background</w:t>
      </w:r>
      <w:bookmarkEnd w:id="2"/>
    </w:p>
    <w:p w:rsidR="005F0235" w:rsidRDefault="005F0235" w:rsidP="005F0235">
      <w:pPr>
        <w:pStyle w:val="Heading2"/>
        <w:rPr>
          <w:rFonts w:eastAsia="Calibri"/>
        </w:rPr>
      </w:pPr>
    </w:p>
    <w:p w:rsidR="00E1797B" w:rsidRPr="007B1BF1" w:rsidRDefault="00DB432D" w:rsidP="00893B48">
      <w:pPr>
        <w:spacing w:after="200" w:line="276" w:lineRule="auto"/>
        <w:jc w:val="both"/>
        <w:rPr>
          <w:rFonts w:eastAsia="Calibri"/>
          <w:sz w:val="22"/>
          <w:szCs w:val="22"/>
        </w:rPr>
      </w:pPr>
      <w:r>
        <w:rPr>
          <w:rFonts w:eastAsia="Calibri"/>
          <w:sz w:val="22"/>
          <w:szCs w:val="22"/>
          <w:lang w:val="en-GB"/>
        </w:rPr>
        <w:t xml:space="preserve">On </w:t>
      </w:r>
      <w:r w:rsidR="00E1797B" w:rsidRPr="007B1BF1">
        <w:rPr>
          <w:rFonts w:eastAsia="Calibri"/>
          <w:sz w:val="22"/>
          <w:szCs w:val="22"/>
          <w:lang w:val="en-GB"/>
        </w:rPr>
        <w:t>1</w:t>
      </w:r>
      <w:r w:rsidR="00E1797B" w:rsidRPr="007B1BF1">
        <w:rPr>
          <w:rFonts w:eastAsia="Calibri"/>
          <w:sz w:val="22"/>
          <w:szCs w:val="22"/>
          <w:vertAlign w:val="superscript"/>
          <w:lang w:val="en-GB"/>
        </w:rPr>
        <w:t>st</w:t>
      </w:r>
      <w:r w:rsidR="00E1797B" w:rsidRPr="007B1BF1">
        <w:rPr>
          <w:rFonts w:eastAsia="Calibri"/>
          <w:sz w:val="22"/>
          <w:szCs w:val="22"/>
          <w:lang w:val="en-GB"/>
        </w:rPr>
        <w:t xml:space="preserve"> April 2013, t</w:t>
      </w:r>
      <w:r w:rsidR="00EF3D98" w:rsidRPr="007B1BF1">
        <w:rPr>
          <w:rFonts w:eastAsia="Calibri"/>
          <w:sz w:val="22"/>
          <w:szCs w:val="22"/>
          <w:lang w:val="en-GB"/>
        </w:rPr>
        <w:t xml:space="preserve">he responsibility for local public health transferred to the Council. </w:t>
      </w:r>
      <w:r w:rsidR="00E1797B" w:rsidRPr="007B1BF1">
        <w:rPr>
          <w:rFonts w:eastAsia="Calibri"/>
          <w:sz w:val="22"/>
          <w:szCs w:val="22"/>
          <w:lang w:val="en-GB"/>
        </w:rPr>
        <w:t xml:space="preserve"> Each year, the Department of Health allocates an annual public health grant to improve and protect the health of health of the local populations. Doncaster Council </w:t>
      </w:r>
      <w:r w:rsidR="006A01E3">
        <w:rPr>
          <w:rFonts w:eastAsia="Calibri"/>
          <w:sz w:val="22"/>
          <w:szCs w:val="22"/>
          <w:lang w:val="en-GB"/>
        </w:rPr>
        <w:t xml:space="preserve">(DMBC) </w:t>
      </w:r>
      <w:r>
        <w:rPr>
          <w:rFonts w:eastAsia="Calibri"/>
          <w:sz w:val="22"/>
          <w:szCs w:val="22"/>
          <w:lang w:val="en-GB"/>
        </w:rPr>
        <w:t xml:space="preserve">uses this grant on all areas of public health expenditure including staff costs, DMBC support costs, an internal wider determinants fund and a range of </w:t>
      </w:r>
      <w:r w:rsidR="00E1797B" w:rsidRPr="007B1BF1">
        <w:rPr>
          <w:rFonts w:eastAsia="Calibri"/>
          <w:sz w:val="22"/>
          <w:szCs w:val="22"/>
          <w:lang w:val="en-GB"/>
        </w:rPr>
        <w:t xml:space="preserve">commissioned </w:t>
      </w:r>
      <w:r>
        <w:rPr>
          <w:rFonts w:eastAsia="Calibri"/>
          <w:sz w:val="22"/>
          <w:szCs w:val="22"/>
          <w:lang w:val="en-GB"/>
        </w:rPr>
        <w:t xml:space="preserve">services </w:t>
      </w:r>
      <w:r w:rsidR="00E1797B" w:rsidRPr="007B1BF1">
        <w:rPr>
          <w:rFonts w:eastAsia="Calibri"/>
          <w:sz w:val="22"/>
          <w:szCs w:val="22"/>
          <w:lang w:val="en-GB"/>
        </w:rPr>
        <w:t>.</w:t>
      </w:r>
      <w:r>
        <w:rPr>
          <w:rFonts w:eastAsia="Calibri"/>
          <w:sz w:val="22"/>
          <w:szCs w:val="22"/>
          <w:lang w:val="en-GB"/>
        </w:rPr>
        <w:t xml:space="preserve">The grant is included in the council’s Medium Term Financial Plan (MTFP) and is approved by council. This commissioning strategy outlines the commissioning approach taken by DMBC to maintain or improve outcomes whilst making the savings required by the national reductions in the Public Health grant over the next 4 years.  </w:t>
      </w:r>
      <w:r w:rsidR="00E1797B" w:rsidRPr="007B1BF1">
        <w:rPr>
          <w:rFonts w:eastAsia="Calibri"/>
          <w:sz w:val="22"/>
          <w:szCs w:val="22"/>
          <w:lang w:val="en-GB"/>
        </w:rPr>
        <w:t xml:space="preserve"> </w:t>
      </w:r>
    </w:p>
    <w:p w:rsidR="00EF3D98" w:rsidRPr="007B1BF1" w:rsidRDefault="00EF3D98" w:rsidP="00EF3D98">
      <w:pPr>
        <w:overflowPunct/>
        <w:autoSpaceDE/>
        <w:autoSpaceDN/>
        <w:adjustRightInd/>
        <w:spacing w:after="200" w:line="276" w:lineRule="auto"/>
        <w:textAlignment w:val="auto"/>
        <w:rPr>
          <w:rFonts w:eastAsia="Calibri" w:cs="Arial"/>
          <w:sz w:val="22"/>
          <w:szCs w:val="22"/>
          <w:lang w:val="en-GB"/>
        </w:rPr>
      </w:pPr>
    </w:p>
    <w:p w:rsidR="00EF3D98" w:rsidRPr="00EF3D98" w:rsidRDefault="00341D2C" w:rsidP="005F0235">
      <w:pPr>
        <w:pStyle w:val="Heading2"/>
      </w:pPr>
      <w:bookmarkStart w:id="3" w:name="_Toc483994441"/>
      <w:r>
        <w:t xml:space="preserve">1.2 </w:t>
      </w:r>
      <w:r>
        <w:tab/>
      </w:r>
      <w:r w:rsidR="00EF3D98" w:rsidRPr="00EF3D98">
        <w:t>The Public Health Role of Local Authorities</w:t>
      </w:r>
      <w:bookmarkEnd w:id="3"/>
    </w:p>
    <w:p w:rsidR="00EF3D98" w:rsidRPr="00EF3D98" w:rsidRDefault="00EF3D98" w:rsidP="00EF3D98">
      <w:pPr>
        <w:overflowPunct/>
        <w:autoSpaceDE/>
        <w:autoSpaceDN/>
        <w:adjustRightInd/>
        <w:spacing w:after="200" w:line="276" w:lineRule="auto"/>
        <w:textAlignment w:val="auto"/>
        <w:rPr>
          <w:rFonts w:ascii="Calibri" w:eastAsia="Calibri" w:hAnsi="Calibri"/>
          <w:sz w:val="22"/>
          <w:szCs w:val="22"/>
          <w:lang w:val="en-GB"/>
        </w:rPr>
      </w:pPr>
    </w:p>
    <w:p w:rsidR="00EF3D98" w:rsidRPr="005F0235" w:rsidRDefault="008E5228" w:rsidP="00893B48">
      <w:pPr>
        <w:overflowPunct/>
        <w:autoSpaceDE/>
        <w:autoSpaceDN/>
        <w:adjustRightInd/>
        <w:spacing w:after="200" w:line="276" w:lineRule="auto"/>
        <w:jc w:val="both"/>
        <w:textAlignment w:val="auto"/>
        <w:rPr>
          <w:rFonts w:eastAsia="Calibri" w:cs="Arial"/>
          <w:sz w:val="22"/>
          <w:szCs w:val="22"/>
          <w:lang w:val="en-GB"/>
        </w:rPr>
      </w:pPr>
      <w:r>
        <w:rPr>
          <w:rFonts w:eastAsia="Calibri" w:cs="Arial"/>
          <w:sz w:val="22"/>
          <w:szCs w:val="22"/>
          <w:lang w:val="en-GB"/>
        </w:rPr>
        <w:t xml:space="preserve">The public health role of Local Authorities </w:t>
      </w:r>
      <w:r w:rsidR="00E965E6">
        <w:rPr>
          <w:rFonts w:eastAsia="Calibri" w:cs="Arial"/>
          <w:sz w:val="22"/>
          <w:szCs w:val="22"/>
          <w:lang w:val="en-GB"/>
        </w:rPr>
        <w:t xml:space="preserve">has expanded since the function </w:t>
      </w:r>
      <w:r>
        <w:rPr>
          <w:rFonts w:eastAsia="Calibri" w:cs="Arial"/>
          <w:sz w:val="22"/>
          <w:szCs w:val="22"/>
          <w:lang w:val="en-GB"/>
        </w:rPr>
        <w:t xml:space="preserve">transferred from the NHS to the local authority on 1 April 2013. </w:t>
      </w:r>
      <w:r w:rsidR="00E965E6">
        <w:rPr>
          <w:rFonts w:eastAsia="Calibri" w:cs="Arial"/>
          <w:sz w:val="22"/>
          <w:szCs w:val="22"/>
          <w:lang w:val="en-GB"/>
        </w:rPr>
        <w:t>The d</w:t>
      </w:r>
      <w:r>
        <w:rPr>
          <w:rFonts w:eastAsia="Calibri" w:cs="Arial"/>
          <w:sz w:val="22"/>
          <w:szCs w:val="22"/>
          <w:lang w:val="en-GB"/>
        </w:rPr>
        <w:t xml:space="preserve">etails of these </w:t>
      </w:r>
      <w:r w:rsidR="00E965E6">
        <w:rPr>
          <w:rFonts w:eastAsia="Calibri" w:cs="Arial"/>
          <w:sz w:val="22"/>
          <w:szCs w:val="22"/>
          <w:lang w:val="en-GB"/>
        </w:rPr>
        <w:t xml:space="preserve">initial responsibilities </w:t>
      </w:r>
      <w:r>
        <w:rPr>
          <w:rFonts w:eastAsia="Calibri" w:cs="Arial"/>
          <w:sz w:val="22"/>
          <w:szCs w:val="22"/>
          <w:lang w:val="en-GB"/>
        </w:rPr>
        <w:t xml:space="preserve">were set out in a number of documents, </w:t>
      </w:r>
      <w:r w:rsidR="00E965E6">
        <w:rPr>
          <w:rFonts w:eastAsia="Calibri" w:cs="Arial"/>
          <w:sz w:val="22"/>
          <w:szCs w:val="22"/>
          <w:lang w:val="en-GB"/>
        </w:rPr>
        <w:t xml:space="preserve">including in </w:t>
      </w:r>
      <w:r w:rsidR="00EF3D98" w:rsidRPr="005F0235">
        <w:rPr>
          <w:rFonts w:eastAsia="Calibri" w:cs="Arial"/>
          <w:sz w:val="22"/>
          <w:szCs w:val="22"/>
          <w:lang w:val="en-GB"/>
        </w:rPr>
        <w:t xml:space="preserve">December 2011, the </w:t>
      </w:r>
      <w:r w:rsidR="00E965E6">
        <w:rPr>
          <w:rFonts w:eastAsia="Calibri" w:cs="Arial"/>
          <w:sz w:val="22"/>
          <w:szCs w:val="22"/>
          <w:lang w:val="en-GB"/>
        </w:rPr>
        <w:t xml:space="preserve">publication by the </w:t>
      </w:r>
      <w:r w:rsidR="00EF3D98" w:rsidRPr="005F0235">
        <w:rPr>
          <w:rFonts w:eastAsia="Calibri" w:cs="Arial"/>
          <w:sz w:val="22"/>
          <w:szCs w:val="22"/>
          <w:lang w:val="en-GB"/>
        </w:rPr>
        <w:t xml:space="preserve">Department of Health </w:t>
      </w:r>
      <w:r w:rsidR="00E965E6">
        <w:rPr>
          <w:rFonts w:eastAsia="Calibri" w:cs="Arial"/>
          <w:sz w:val="22"/>
          <w:szCs w:val="22"/>
          <w:lang w:val="en-GB"/>
        </w:rPr>
        <w:t xml:space="preserve">of </w:t>
      </w:r>
      <w:r w:rsidR="00EF3D98" w:rsidRPr="005F0235">
        <w:rPr>
          <w:rFonts w:eastAsia="Calibri" w:cs="Arial"/>
          <w:sz w:val="22"/>
          <w:szCs w:val="22"/>
          <w:lang w:val="en-GB"/>
        </w:rPr>
        <w:t>a series of factsheets collectively known as ‘Public Health in Local Government’ (gateway Reference 16747). The factsheets described: the Public Health leadership role for local government, detailed the new public health functions of local government, the role of the Director of Public Health, commissioning responsibilities, public health advice to NHS commissioners, professional appraisal and support and capacity building.</w:t>
      </w:r>
      <w:r w:rsidR="00EF3D98" w:rsidRPr="005F0235">
        <w:rPr>
          <w:rFonts w:eastAsia="Calibri" w:cs="Arial"/>
          <w:sz w:val="22"/>
          <w:szCs w:val="22"/>
          <w:vertAlign w:val="superscript"/>
          <w:lang w:val="en-GB"/>
        </w:rPr>
        <w:footnoteReference w:id="1"/>
      </w:r>
      <w:r w:rsidR="00EF3D98" w:rsidRPr="005F0235">
        <w:rPr>
          <w:rFonts w:eastAsia="Calibri" w:cs="Arial"/>
          <w:sz w:val="22"/>
          <w:szCs w:val="22"/>
          <w:lang w:val="en-GB"/>
        </w:rPr>
        <w:t xml:space="preserve">  </w:t>
      </w:r>
    </w:p>
    <w:p w:rsidR="00EF3D98" w:rsidRPr="00E96392" w:rsidRDefault="00EF3D98" w:rsidP="00893B48">
      <w:pPr>
        <w:overflowPunct/>
        <w:autoSpaceDE/>
        <w:autoSpaceDN/>
        <w:adjustRightInd/>
        <w:spacing w:after="200" w:line="276" w:lineRule="auto"/>
        <w:jc w:val="both"/>
        <w:textAlignment w:val="auto"/>
        <w:rPr>
          <w:rFonts w:eastAsia="Calibri" w:cs="Arial"/>
          <w:sz w:val="22"/>
          <w:szCs w:val="22"/>
          <w:lang w:val="en-GB"/>
        </w:rPr>
      </w:pPr>
      <w:r w:rsidRPr="005F0235">
        <w:rPr>
          <w:rFonts w:eastAsia="Calibri" w:cs="Arial"/>
          <w:sz w:val="22"/>
          <w:szCs w:val="22"/>
          <w:lang w:val="en-GB"/>
        </w:rPr>
        <w:t xml:space="preserve">The Council’s </w:t>
      </w:r>
      <w:r w:rsidR="00E965E6">
        <w:rPr>
          <w:rFonts w:eastAsia="Calibri" w:cs="Arial"/>
          <w:sz w:val="22"/>
          <w:szCs w:val="22"/>
          <w:lang w:val="en-GB"/>
        </w:rPr>
        <w:t xml:space="preserve">public health </w:t>
      </w:r>
      <w:r w:rsidRPr="005F0235">
        <w:rPr>
          <w:rFonts w:eastAsia="Calibri" w:cs="Arial"/>
          <w:sz w:val="22"/>
          <w:szCs w:val="22"/>
          <w:lang w:val="en-GB"/>
        </w:rPr>
        <w:t>duty is to take such steps as it considers appropriate for improving the health of the people in its area. The factsheets suggest that an obvious way in which local authorities will fulfil this duty will be commissioning a range of services from a range of providers from different sectors, working with clinical commissioning groups and representatives of the NHS England to create as integrated a set of services as possible. However, local authorities can fulfil this duty in a wide range of ways, including the way they operate the planning system, policies on leisure, key partnerships with other agencies for example on children’s and young people’s services, and through developing a diverse provider market for public health improvement activities.</w:t>
      </w:r>
      <w:r w:rsidRPr="005F0235">
        <w:rPr>
          <w:rFonts w:eastAsia="Calibri" w:cs="Arial"/>
          <w:sz w:val="22"/>
          <w:szCs w:val="22"/>
          <w:lang w:val="en-GB"/>
        </w:rPr>
        <w:br/>
      </w:r>
      <w:r w:rsidRPr="005F0235">
        <w:rPr>
          <w:rFonts w:eastAsia="Calibri" w:cs="Arial"/>
          <w:sz w:val="22"/>
          <w:szCs w:val="22"/>
          <w:lang w:val="en-GB"/>
        </w:rPr>
        <w:br/>
      </w:r>
      <w:r w:rsidRPr="00E96392">
        <w:rPr>
          <w:rFonts w:eastAsia="Calibri" w:cs="Arial"/>
          <w:sz w:val="20"/>
          <w:szCs w:val="22"/>
          <w:lang w:val="en-GB"/>
        </w:rPr>
        <w:t xml:space="preserve">The </w:t>
      </w:r>
      <w:r w:rsidRPr="00BC2F7C">
        <w:rPr>
          <w:rFonts w:eastAsia="Calibri" w:cs="Arial"/>
          <w:sz w:val="22"/>
          <w:szCs w:val="24"/>
          <w:lang w:val="en-GB"/>
        </w:rPr>
        <w:t xml:space="preserve">guidance factsheets suggest that local authorities will want to ensure the health needs of </w:t>
      </w:r>
      <w:r w:rsidRPr="00464E63">
        <w:rPr>
          <w:rFonts w:eastAsia="Calibri" w:cs="Arial"/>
          <w:sz w:val="22"/>
          <w:szCs w:val="24"/>
          <w:lang w:val="en-GB"/>
        </w:rPr>
        <w:lastRenderedPageBreak/>
        <w:t xml:space="preserve">disadvantaged areas and vulnerable groups are addressed, as well as giving consideration to </w:t>
      </w:r>
      <w:r w:rsidRPr="00E96392">
        <w:rPr>
          <w:rFonts w:eastAsia="Calibri" w:cs="Arial"/>
          <w:sz w:val="22"/>
          <w:szCs w:val="22"/>
          <w:lang w:val="en-GB"/>
        </w:rPr>
        <w:t>equality issues. The goal should be to improve the health of all people, but to improve the health of the poorest, fastest.</w:t>
      </w:r>
    </w:p>
    <w:p w:rsidR="00EF3D98" w:rsidRPr="00E96392" w:rsidRDefault="00EF3D98" w:rsidP="00893B48">
      <w:pPr>
        <w:spacing w:after="200" w:line="276" w:lineRule="auto"/>
        <w:jc w:val="both"/>
        <w:rPr>
          <w:rFonts w:eastAsia="Calibri"/>
          <w:sz w:val="22"/>
          <w:szCs w:val="22"/>
          <w:lang w:val="en-GB"/>
        </w:rPr>
      </w:pPr>
      <w:r w:rsidRPr="00E96392">
        <w:rPr>
          <w:rFonts w:eastAsia="Calibri"/>
          <w:sz w:val="22"/>
          <w:szCs w:val="22"/>
          <w:lang w:val="en-GB"/>
        </w:rPr>
        <w:t xml:space="preserve">The Health and Social Care Act </w:t>
      </w:r>
      <w:r w:rsidR="00A20381" w:rsidRPr="00E96392">
        <w:rPr>
          <w:rFonts w:eastAsia="Calibri"/>
          <w:sz w:val="22"/>
          <w:szCs w:val="22"/>
          <w:lang w:val="en-GB"/>
        </w:rPr>
        <w:t xml:space="preserve">2012 </w:t>
      </w:r>
      <w:r w:rsidRPr="00E96392">
        <w:rPr>
          <w:rFonts w:eastAsia="Calibri"/>
          <w:sz w:val="22"/>
          <w:szCs w:val="22"/>
          <w:lang w:val="en-GB"/>
        </w:rPr>
        <w:t>includes a power for the Secretary of State for Health to prescribe that local authorities take certain steps in the exercise of public health functions, including that certain services should be commissioned or provided. The purpose of this power is not to identify some services as more important than others. Rather the issue is that in some service areas (particularly health protection) greater uniformity of provision is required. In others</w:t>
      </w:r>
      <w:r w:rsidR="006A01E3">
        <w:rPr>
          <w:rFonts w:eastAsia="Calibri"/>
          <w:sz w:val="22"/>
          <w:szCs w:val="22"/>
          <w:lang w:val="en-GB"/>
        </w:rPr>
        <w:t>,</w:t>
      </w:r>
      <w:r w:rsidRPr="00E96392">
        <w:rPr>
          <w:rFonts w:eastAsia="Calibri"/>
          <w:sz w:val="22"/>
          <w:szCs w:val="22"/>
          <w:lang w:val="en-GB"/>
        </w:rPr>
        <w:t xml:space="preserve"> the Secretary of State for Health is currently under a legal duty and needs to ensure that that obligation is effectively delivered when a function is delegated to local government (the provision of contraception is an example). Finally, certain other steps are critical to the effective running of the public health system at a local level, for example, ensuring that the local authority provides public health advice to NHS commissioners. </w:t>
      </w:r>
    </w:p>
    <w:p w:rsidR="0090186A" w:rsidRDefault="00B35913" w:rsidP="00893B48">
      <w:pPr>
        <w:overflowPunct/>
        <w:autoSpaceDE/>
        <w:autoSpaceDN/>
        <w:adjustRightInd/>
        <w:spacing w:after="200" w:line="276" w:lineRule="auto"/>
        <w:jc w:val="both"/>
        <w:textAlignment w:val="auto"/>
        <w:rPr>
          <w:rFonts w:eastAsia="Calibri" w:cs="Arial"/>
          <w:sz w:val="22"/>
          <w:szCs w:val="22"/>
          <w:lang w:val="en-GB"/>
        </w:rPr>
      </w:pPr>
      <w:r w:rsidRPr="00E96392">
        <w:rPr>
          <w:rFonts w:eastAsia="Calibri" w:cs="Arial"/>
          <w:sz w:val="22"/>
          <w:szCs w:val="22"/>
          <w:lang w:val="en-GB"/>
        </w:rPr>
        <w:t>The commissioning of other non-mandated services is discretionary, guided by the Public Health Outcomes Framework</w:t>
      </w:r>
      <w:r w:rsidR="00464E63" w:rsidRPr="00E96392">
        <w:rPr>
          <w:rFonts w:eastAsia="Calibri" w:cs="Arial"/>
          <w:sz w:val="22"/>
          <w:szCs w:val="22"/>
          <w:lang w:val="en-GB"/>
        </w:rPr>
        <w:t xml:space="preserve"> (PHOF)</w:t>
      </w:r>
      <w:r w:rsidR="00D41808">
        <w:rPr>
          <w:rFonts w:eastAsia="Calibri" w:cs="Arial"/>
          <w:sz w:val="22"/>
          <w:szCs w:val="22"/>
          <w:lang w:val="en-GB"/>
        </w:rPr>
        <w:t>, the local J</w:t>
      </w:r>
      <w:r w:rsidRPr="00E96392">
        <w:rPr>
          <w:rFonts w:eastAsia="Calibri" w:cs="Arial"/>
          <w:sz w:val="22"/>
          <w:szCs w:val="22"/>
          <w:lang w:val="en-GB"/>
        </w:rPr>
        <w:t xml:space="preserve">oint </w:t>
      </w:r>
      <w:r w:rsidR="00D41808">
        <w:rPr>
          <w:rFonts w:eastAsia="Calibri" w:cs="Arial"/>
          <w:sz w:val="22"/>
          <w:szCs w:val="22"/>
          <w:lang w:val="en-GB"/>
        </w:rPr>
        <w:t>S</w:t>
      </w:r>
      <w:r w:rsidRPr="00E96392">
        <w:rPr>
          <w:rFonts w:eastAsia="Calibri" w:cs="Arial"/>
          <w:sz w:val="22"/>
          <w:szCs w:val="22"/>
          <w:lang w:val="en-GB"/>
        </w:rPr>
        <w:t xml:space="preserve">trategic </w:t>
      </w:r>
      <w:r w:rsidR="00D41808">
        <w:rPr>
          <w:rFonts w:eastAsia="Calibri" w:cs="Arial"/>
          <w:sz w:val="22"/>
          <w:szCs w:val="22"/>
          <w:lang w:val="en-GB"/>
        </w:rPr>
        <w:t>N</w:t>
      </w:r>
      <w:r w:rsidRPr="00E96392">
        <w:rPr>
          <w:rFonts w:eastAsia="Calibri" w:cs="Arial"/>
          <w:sz w:val="22"/>
          <w:szCs w:val="22"/>
          <w:lang w:val="en-GB"/>
        </w:rPr>
        <w:t xml:space="preserve">eeds </w:t>
      </w:r>
      <w:r w:rsidR="00D41808">
        <w:rPr>
          <w:rFonts w:eastAsia="Calibri" w:cs="Arial"/>
          <w:sz w:val="22"/>
          <w:szCs w:val="22"/>
          <w:lang w:val="en-GB"/>
        </w:rPr>
        <w:t>A</w:t>
      </w:r>
      <w:r w:rsidRPr="00E96392">
        <w:rPr>
          <w:rFonts w:eastAsia="Calibri" w:cs="Arial"/>
          <w:sz w:val="22"/>
          <w:szCs w:val="22"/>
          <w:lang w:val="en-GB"/>
        </w:rPr>
        <w:t xml:space="preserve">ssessment </w:t>
      </w:r>
      <w:r w:rsidR="00464E63" w:rsidRPr="00E96392">
        <w:rPr>
          <w:rFonts w:eastAsia="Calibri" w:cs="Arial"/>
          <w:sz w:val="22"/>
          <w:szCs w:val="22"/>
          <w:lang w:val="en-GB"/>
        </w:rPr>
        <w:t xml:space="preserve">(JSNA) </w:t>
      </w:r>
      <w:r w:rsidRPr="00E96392">
        <w:rPr>
          <w:rFonts w:eastAsia="Calibri" w:cs="Arial"/>
          <w:sz w:val="22"/>
          <w:szCs w:val="22"/>
          <w:lang w:val="en-GB"/>
        </w:rPr>
        <w:t xml:space="preserve">and the </w:t>
      </w:r>
      <w:r w:rsidR="00D41808">
        <w:rPr>
          <w:rFonts w:eastAsia="Calibri" w:cs="Arial"/>
          <w:sz w:val="22"/>
          <w:szCs w:val="22"/>
          <w:lang w:val="en-GB"/>
        </w:rPr>
        <w:t>H</w:t>
      </w:r>
      <w:r w:rsidRPr="00E96392">
        <w:rPr>
          <w:rFonts w:eastAsia="Calibri" w:cs="Arial"/>
          <w:sz w:val="22"/>
          <w:szCs w:val="22"/>
          <w:lang w:val="en-GB"/>
        </w:rPr>
        <w:t xml:space="preserve">ealth and </w:t>
      </w:r>
      <w:r w:rsidR="00D41808">
        <w:rPr>
          <w:rFonts w:eastAsia="Calibri" w:cs="Arial"/>
          <w:sz w:val="22"/>
          <w:szCs w:val="22"/>
          <w:lang w:val="en-GB"/>
        </w:rPr>
        <w:t>W</w:t>
      </w:r>
      <w:r w:rsidRPr="00E96392">
        <w:rPr>
          <w:rFonts w:eastAsia="Calibri" w:cs="Arial"/>
          <w:sz w:val="22"/>
          <w:szCs w:val="22"/>
          <w:lang w:val="en-GB"/>
        </w:rPr>
        <w:t xml:space="preserve">ellbeing </w:t>
      </w:r>
      <w:r w:rsidR="00D41808">
        <w:rPr>
          <w:rFonts w:eastAsia="Calibri" w:cs="Arial"/>
          <w:sz w:val="22"/>
          <w:szCs w:val="22"/>
          <w:lang w:val="en-GB"/>
        </w:rPr>
        <w:t>S</w:t>
      </w:r>
      <w:r w:rsidRPr="00E96392">
        <w:rPr>
          <w:rFonts w:eastAsia="Calibri" w:cs="Arial"/>
          <w:sz w:val="22"/>
          <w:szCs w:val="22"/>
          <w:lang w:val="en-GB"/>
        </w:rPr>
        <w:t xml:space="preserve">trategy. </w:t>
      </w:r>
    </w:p>
    <w:p w:rsidR="0090186A" w:rsidRPr="0090186A" w:rsidRDefault="0090186A" w:rsidP="00893B48">
      <w:pPr>
        <w:overflowPunct/>
        <w:autoSpaceDE/>
        <w:autoSpaceDN/>
        <w:adjustRightInd/>
        <w:spacing w:after="200" w:line="276" w:lineRule="auto"/>
        <w:jc w:val="both"/>
        <w:textAlignment w:val="auto"/>
        <w:rPr>
          <w:rFonts w:cs="Arial"/>
          <w:sz w:val="22"/>
          <w:szCs w:val="22"/>
        </w:rPr>
      </w:pPr>
      <w:r>
        <w:rPr>
          <w:rFonts w:eastAsia="Calibri" w:cs="Arial"/>
          <w:sz w:val="22"/>
          <w:szCs w:val="22"/>
          <w:lang w:val="en-GB"/>
        </w:rPr>
        <w:t xml:space="preserve">The list of public health </w:t>
      </w:r>
      <w:r w:rsidRPr="0090186A">
        <w:rPr>
          <w:rFonts w:eastAsia="Calibri" w:cs="Arial"/>
          <w:sz w:val="22"/>
          <w:szCs w:val="22"/>
          <w:lang w:val="en-GB"/>
        </w:rPr>
        <w:t>services that are mandatory (prescribed) and non-mandatory (no</w:t>
      </w:r>
      <w:r w:rsidR="00A87C9D">
        <w:rPr>
          <w:rFonts w:eastAsia="Calibri" w:cs="Arial"/>
          <w:sz w:val="22"/>
          <w:szCs w:val="22"/>
          <w:lang w:val="en-GB"/>
        </w:rPr>
        <w:t>n</w:t>
      </w:r>
      <w:r w:rsidRPr="0090186A">
        <w:rPr>
          <w:rFonts w:eastAsia="Calibri" w:cs="Arial"/>
          <w:sz w:val="22"/>
          <w:szCs w:val="22"/>
          <w:lang w:val="en-GB"/>
        </w:rPr>
        <w:t>-prescribed) include</w:t>
      </w:r>
      <w:r>
        <w:rPr>
          <w:rFonts w:eastAsia="Calibri" w:cs="Arial"/>
          <w:sz w:val="22"/>
          <w:szCs w:val="22"/>
          <w:lang w:val="en-GB"/>
        </w:rPr>
        <w:t>s</w:t>
      </w:r>
      <w:r w:rsidRPr="0090186A">
        <w:rPr>
          <w:rFonts w:eastAsia="Calibri" w:cs="Arial"/>
          <w:sz w:val="22"/>
          <w:szCs w:val="22"/>
          <w:lang w:val="en-GB"/>
        </w:rPr>
        <w:t xml:space="preserve"> the following</w:t>
      </w:r>
      <w:r>
        <w:rPr>
          <w:rFonts w:eastAsia="Calibri" w:cs="Arial"/>
          <w:sz w:val="22"/>
          <w:szCs w:val="22"/>
          <w:lang w:val="en-GB"/>
        </w:rPr>
        <w:t>:</w:t>
      </w:r>
      <w:r>
        <w:rPr>
          <w:rStyle w:val="FootnoteReference"/>
          <w:rFonts w:eastAsia="Calibri" w:cs="Arial"/>
          <w:sz w:val="22"/>
          <w:szCs w:val="22"/>
          <w:lang w:val="en-GB"/>
        </w:rPr>
        <w:footnoteReference w:id="2"/>
      </w:r>
      <w:r>
        <w:rPr>
          <w:rFonts w:eastAsia="Calibri" w:cs="Arial"/>
          <w:sz w:val="22"/>
          <w:szCs w:val="22"/>
          <w:lang w:val="en-GB"/>
        </w:rPr>
        <w:t xml:space="preserve"> </w:t>
      </w:r>
    </w:p>
    <w:p w:rsidR="0090186A" w:rsidRDefault="0090186A" w:rsidP="0090186A">
      <w:pPr>
        <w:pStyle w:val="Default"/>
        <w:rPr>
          <w:b/>
          <w:bCs/>
          <w:i/>
          <w:iCs/>
          <w:sz w:val="22"/>
          <w:szCs w:val="22"/>
        </w:rPr>
      </w:pPr>
      <w:r w:rsidRPr="00D75BA8">
        <w:rPr>
          <w:b/>
          <w:bCs/>
          <w:i/>
          <w:iCs/>
          <w:sz w:val="22"/>
          <w:szCs w:val="22"/>
        </w:rPr>
        <w:t>Prescribed functions</w:t>
      </w:r>
      <w:r w:rsidR="006A01E3">
        <w:rPr>
          <w:b/>
          <w:bCs/>
          <w:i/>
          <w:iCs/>
          <w:sz w:val="22"/>
          <w:szCs w:val="22"/>
        </w:rPr>
        <w:t xml:space="preserve"> (mandated services)</w:t>
      </w:r>
      <w:r w:rsidRPr="00D75BA8">
        <w:rPr>
          <w:b/>
          <w:bCs/>
          <w:i/>
          <w:iCs/>
          <w:sz w:val="22"/>
          <w:szCs w:val="22"/>
        </w:rPr>
        <w:t xml:space="preserve">: </w:t>
      </w:r>
    </w:p>
    <w:p w:rsidR="0090186A" w:rsidRPr="00D75BA8" w:rsidRDefault="0090186A" w:rsidP="0090186A">
      <w:pPr>
        <w:pStyle w:val="Default"/>
        <w:rPr>
          <w:sz w:val="22"/>
          <w:szCs w:val="22"/>
        </w:rPr>
      </w:pPr>
    </w:p>
    <w:p w:rsidR="0090186A" w:rsidRPr="00D75BA8" w:rsidRDefault="0090186A" w:rsidP="0090186A">
      <w:pPr>
        <w:pStyle w:val="Default"/>
        <w:numPr>
          <w:ilvl w:val="0"/>
          <w:numId w:val="36"/>
        </w:numPr>
        <w:ind w:left="851" w:hanging="491"/>
        <w:rPr>
          <w:sz w:val="22"/>
          <w:szCs w:val="22"/>
        </w:rPr>
      </w:pPr>
      <w:r w:rsidRPr="00D75BA8">
        <w:rPr>
          <w:sz w:val="22"/>
          <w:szCs w:val="22"/>
        </w:rPr>
        <w:t xml:space="preserve">Sexual health services </w:t>
      </w:r>
      <w:r w:rsidR="006A01E3">
        <w:rPr>
          <w:sz w:val="22"/>
          <w:szCs w:val="22"/>
        </w:rPr>
        <w:t>–</w:t>
      </w:r>
      <w:r w:rsidRPr="00D75BA8">
        <w:rPr>
          <w:sz w:val="22"/>
          <w:szCs w:val="22"/>
        </w:rPr>
        <w:t xml:space="preserve"> </w:t>
      </w:r>
      <w:r w:rsidR="006A01E3">
        <w:rPr>
          <w:sz w:val="22"/>
          <w:szCs w:val="22"/>
        </w:rPr>
        <w:t>sexually transmitted infections (</w:t>
      </w:r>
      <w:r w:rsidRPr="00D75BA8">
        <w:rPr>
          <w:sz w:val="22"/>
          <w:szCs w:val="22"/>
        </w:rPr>
        <w:t>STI</w:t>
      </w:r>
      <w:r w:rsidR="006A01E3">
        <w:rPr>
          <w:sz w:val="22"/>
          <w:szCs w:val="22"/>
        </w:rPr>
        <w:t>)</w:t>
      </w:r>
      <w:r w:rsidRPr="00D75BA8">
        <w:rPr>
          <w:sz w:val="22"/>
          <w:szCs w:val="22"/>
        </w:rPr>
        <w:t xml:space="preserve"> testing and treatment </w:t>
      </w:r>
    </w:p>
    <w:p w:rsidR="0090186A" w:rsidRPr="00D75BA8" w:rsidRDefault="0090186A" w:rsidP="0090186A">
      <w:pPr>
        <w:pStyle w:val="Default"/>
        <w:numPr>
          <w:ilvl w:val="0"/>
          <w:numId w:val="36"/>
        </w:numPr>
        <w:ind w:left="851" w:hanging="491"/>
        <w:rPr>
          <w:sz w:val="22"/>
          <w:szCs w:val="22"/>
        </w:rPr>
      </w:pPr>
      <w:r w:rsidRPr="00D75BA8">
        <w:rPr>
          <w:sz w:val="22"/>
          <w:szCs w:val="22"/>
        </w:rPr>
        <w:t xml:space="preserve">Sexual health services – Contraception </w:t>
      </w:r>
    </w:p>
    <w:p w:rsidR="0090186A" w:rsidRPr="00D75BA8" w:rsidRDefault="0090186A" w:rsidP="0090186A">
      <w:pPr>
        <w:pStyle w:val="Default"/>
        <w:numPr>
          <w:ilvl w:val="0"/>
          <w:numId w:val="36"/>
        </w:numPr>
        <w:ind w:left="851" w:hanging="491"/>
        <w:rPr>
          <w:sz w:val="22"/>
          <w:szCs w:val="22"/>
        </w:rPr>
      </w:pPr>
      <w:r w:rsidRPr="00D75BA8">
        <w:rPr>
          <w:sz w:val="22"/>
          <w:szCs w:val="22"/>
        </w:rPr>
        <w:t xml:space="preserve">NHS Health Check programme </w:t>
      </w:r>
    </w:p>
    <w:p w:rsidR="0090186A" w:rsidRPr="00D75BA8" w:rsidRDefault="0090186A" w:rsidP="0090186A">
      <w:pPr>
        <w:pStyle w:val="Default"/>
        <w:numPr>
          <w:ilvl w:val="0"/>
          <w:numId w:val="36"/>
        </w:numPr>
        <w:ind w:left="851" w:hanging="491"/>
        <w:rPr>
          <w:sz w:val="22"/>
          <w:szCs w:val="22"/>
        </w:rPr>
      </w:pPr>
      <w:r w:rsidRPr="00D75BA8">
        <w:rPr>
          <w:sz w:val="22"/>
          <w:szCs w:val="22"/>
        </w:rPr>
        <w:t xml:space="preserve">Local authority role in health protection </w:t>
      </w:r>
    </w:p>
    <w:p w:rsidR="0090186A" w:rsidRPr="00D75BA8" w:rsidRDefault="0090186A" w:rsidP="0090186A">
      <w:pPr>
        <w:pStyle w:val="Default"/>
        <w:numPr>
          <w:ilvl w:val="0"/>
          <w:numId w:val="36"/>
        </w:numPr>
        <w:ind w:left="851" w:hanging="491"/>
        <w:rPr>
          <w:sz w:val="22"/>
          <w:szCs w:val="22"/>
        </w:rPr>
      </w:pPr>
      <w:r w:rsidRPr="00D75BA8">
        <w:rPr>
          <w:sz w:val="22"/>
          <w:szCs w:val="22"/>
        </w:rPr>
        <w:t xml:space="preserve">Public health advice to NHS Commissioners </w:t>
      </w:r>
    </w:p>
    <w:p w:rsidR="0090186A" w:rsidRPr="00D75BA8" w:rsidRDefault="0090186A" w:rsidP="0090186A">
      <w:pPr>
        <w:pStyle w:val="Default"/>
        <w:numPr>
          <w:ilvl w:val="0"/>
          <w:numId w:val="36"/>
        </w:numPr>
        <w:ind w:left="851" w:hanging="491"/>
        <w:rPr>
          <w:sz w:val="22"/>
          <w:szCs w:val="22"/>
        </w:rPr>
      </w:pPr>
      <w:r w:rsidRPr="00D75BA8">
        <w:rPr>
          <w:sz w:val="22"/>
          <w:szCs w:val="22"/>
        </w:rPr>
        <w:t xml:space="preserve">National Child Measurement Programme </w:t>
      </w:r>
    </w:p>
    <w:p w:rsidR="0090186A" w:rsidRPr="00D75BA8" w:rsidRDefault="0090186A" w:rsidP="0090186A">
      <w:pPr>
        <w:pStyle w:val="Default"/>
        <w:numPr>
          <w:ilvl w:val="0"/>
          <w:numId w:val="36"/>
        </w:numPr>
        <w:ind w:left="851" w:hanging="491"/>
        <w:rPr>
          <w:sz w:val="22"/>
          <w:szCs w:val="22"/>
        </w:rPr>
      </w:pPr>
      <w:r w:rsidRPr="00D75BA8">
        <w:rPr>
          <w:sz w:val="22"/>
          <w:szCs w:val="22"/>
        </w:rPr>
        <w:t xml:space="preserve">Prescribed Children’s 0-5 services </w:t>
      </w:r>
    </w:p>
    <w:p w:rsidR="0090186A" w:rsidRDefault="0090186A" w:rsidP="0090186A">
      <w:pPr>
        <w:pStyle w:val="Default"/>
        <w:rPr>
          <w:b/>
          <w:bCs/>
          <w:i/>
          <w:iCs/>
          <w:sz w:val="22"/>
          <w:szCs w:val="22"/>
        </w:rPr>
      </w:pPr>
    </w:p>
    <w:p w:rsidR="0090186A" w:rsidRPr="00D75BA8" w:rsidRDefault="0090186A" w:rsidP="0090186A">
      <w:pPr>
        <w:pStyle w:val="Default"/>
        <w:rPr>
          <w:sz w:val="22"/>
          <w:szCs w:val="22"/>
        </w:rPr>
      </w:pPr>
      <w:r w:rsidRPr="00D75BA8">
        <w:rPr>
          <w:b/>
          <w:bCs/>
          <w:i/>
          <w:iCs/>
          <w:sz w:val="22"/>
          <w:szCs w:val="22"/>
        </w:rPr>
        <w:t>Non-prescribed functions</w:t>
      </w:r>
      <w:r w:rsidR="006A01E3">
        <w:rPr>
          <w:b/>
          <w:bCs/>
          <w:i/>
          <w:iCs/>
          <w:sz w:val="22"/>
          <w:szCs w:val="22"/>
        </w:rPr>
        <w:t xml:space="preserve"> (non-mandated services)</w:t>
      </w:r>
      <w:r w:rsidRPr="00D75BA8">
        <w:rPr>
          <w:b/>
          <w:bCs/>
          <w:i/>
          <w:iCs/>
          <w:sz w:val="22"/>
          <w:szCs w:val="22"/>
        </w:rPr>
        <w:t xml:space="preserve">: </w:t>
      </w:r>
    </w:p>
    <w:p w:rsidR="0090186A" w:rsidRPr="00D75BA8" w:rsidRDefault="0090186A" w:rsidP="0090186A">
      <w:pPr>
        <w:pStyle w:val="Default"/>
        <w:numPr>
          <w:ilvl w:val="0"/>
          <w:numId w:val="36"/>
        </w:numPr>
        <w:ind w:left="851" w:hanging="491"/>
        <w:rPr>
          <w:sz w:val="22"/>
          <w:szCs w:val="22"/>
        </w:rPr>
      </w:pPr>
      <w:r w:rsidRPr="00D75BA8">
        <w:rPr>
          <w:sz w:val="22"/>
          <w:szCs w:val="22"/>
        </w:rPr>
        <w:t xml:space="preserve">Sexual health services - Advice, prevention and promotion </w:t>
      </w:r>
    </w:p>
    <w:p w:rsidR="0090186A" w:rsidRPr="00D75BA8" w:rsidRDefault="0090186A" w:rsidP="0090186A">
      <w:pPr>
        <w:pStyle w:val="Default"/>
        <w:numPr>
          <w:ilvl w:val="0"/>
          <w:numId w:val="36"/>
        </w:numPr>
        <w:ind w:left="851" w:hanging="491"/>
        <w:rPr>
          <w:sz w:val="22"/>
          <w:szCs w:val="22"/>
        </w:rPr>
      </w:pPr>
      <w:r w:rsidRPr="00D75BA8">
        <w:rPr>
          <w:sz w:val="22"/>
          <w:szCs w:val="22"/>
        </w:rPr>
        <w:t xml:space="preserve">Obesity – adults </w:t>
      </w:r>
    </w:p>
    <w:p w:rsidR="0090186A" w:rsidRPr="00D75BA8" w:rsidRDefault="0090186A" w:rsidP="0090186A">
      <w:pPr>
        <w:pStyle w:val="Default"/>
        <w:numPr>
          <w:ilvl w:val="0"/>
          <w:numId w:val="36"/>
        </w:numPr>
        <w:ind w:left="851" w:hanging="491"/>
        <w:rPr>
          <w:sz w:val="22"/>
          <w:szCs w:val="22"/>
        </w:rPr>
      </w:pPr>
      <w:r w:rsidRPr="00D75BA8">
        <w:rPr>
          <w:sz w:val="22"/>
          <w:szCs w:val="22"/>
        </w:rPr>
        <w:t xml:space="preserve">Obesity - children </w:t>
      </w:r>
    </w:p>
    <w:p w:rsidR="0090186A" w:rsidRPr="00D75BA8" w:rsidRDefault="0090186A" w:rsidP="0090186A">
      <w:pPr>
        <w:pStyle w:val="Default"/>
        <w:numPr>
          <w:ilvl w:val="0"/>
          <w:numId w:val="36"/>
        </w:numPr>
        <w:ind w:left="851" w:hanging="491"/>
        <w:rPr>
          <w:sz w:val="22"/>
          <w:szCs w:val="22"/>
        </w:rPr>
      </w:pPr>
      <w:r w:rsidRPr="00D75BA8">
        <w:rPr>
          <w:sz w:val="22"/>
          <w:szCs w:val="22"/>
        </w:rPr>
        <w:t xml:space="preserve">Physical activity – adults </w:t>
      </w:r>
    </w:p>
    <w:p w:rsidR="0090186A" w:rsidRPr="00D75BA8" w:rsidRDefault="0090186A" w:rsidP="0090186A">
      <w:pPr>
        <w:pStyle w:val="Default"/>
        <w:numPr>
          <w:ilvl w:val="0"/>
          <w:numId w:val="36"/>
        </w:numPr>
        <w:ind w:left="851" w:hanging="491"/>
        <w:rPr>
          <w:sz w:val="22"/>
          <w:szCs w:val="22"/>
        </w:rPr>
      </w:pPr>
      <w:r w:rsidRPr="00D75BA8">
        <w:rPr>
          <w:sz w:val="22"/>
          <w:szCs w:val="22"/>
        </w:rPr>
        <w:t xml:space="preserve">Physical activity - children </w:t>
      </w:r>
    </w:p>
    <w:p w:rsidR="0090186A" w:rsidRPr="00D75BA8" w:rsidRDefault="0090186A" w:rsidP="0090186A">
      <w:pPr>
        <w:pStyle w:val="Default"/>
        <w:numPr>
          <w:ilvl w:val="0"/>
          <w:numId w:val="36"/>
        </w:numPr>
        <w:ind w:left="851" w:hanging="491"/>
        <w:rPr>
          <w:sz w:val="22"/>
          <w:szCs w:val="22"/>
        </w:rPr>
      </w:pPr>
      <w:r w:rsidRPr="00D75BA8">
        <w:rPr>
          <w:sz w:val="22"/>
          <w:szCs w:val="22"/>
        </w:rPr>
        <w:t xml:space="preserve">Treatment for drug misuse in adults </w:t>
      </w:r>
    </w:p>
    <w:p w:rsidR="0090186A" w:rsidRPr="00D75BA8" w:rsidRDefault="0090186A" w:rsidP="0090186A">
      <w:pPr>
        <w:pStyle w:val="Default"/>
        <w:numPr>
          <w:ilvl w:val="0"/>
          <w:numId w:val="36"/>
        </w:numPr>
        <w:ind w:left="851" w:hanging="491"/>
        <w:rPr>
          <w:sz w:val="22"/>
          <w:szCs w:val="22"/>
        </w:rPr>
      </w:pPr>
      <w:r w:rsidRPr="00D75BA8">
        <w:rPr>
          <w:sz w:val="22"/>
          <w:szCs w:val="22"/>
        </w:rPr>
        <w:t xml:space="preserve">Treatment for alcohol misuse in adults </w:t>
      </w:r>
    </w:p>
    <w:p w:rsidR="0090186A" w:rsidRPr="00D75BA8" w:rsidRDefault="0090186A" w:rsidP="0090186A">
      <w:pPr>
        <w:pStyle w:val="Default"/>
        <w:numPr>
          <w:ilvl w:val="0"/>
          <w:numId w:val="36"/>
        </w:numPr>
        <w:ind w:left="851" w:hanging="491"/>
        <w:rPr>
          <w:sz w:val="22"/>
          <w:szCs w:val="22"/>
        </w:rPr>
      </w:pPr>
      <w:r w:rsidRPr="00D75BA8">
        <w:rPr>
          <w:sz w:val="22"/>
          <w:szCs w:val="22"/>
        </w:rPr>
        <w:t xml:space="preserve">Preventing and reducing harm from drug misuse in adults </w:t>
      </w:r>
    </w:p>
    <w:p w:rsidR="0090186A" w:rsidRPr="00D75BA8" w:rsidRDefault="0090186A" w:rsidP="0090186A">
      <w:pPr>
        <w:pStyle w:val="Default"/>
        <w:numPr>
          <w:ilvl w:val="0"/>
          <w:numId w:val="36"/>
        </w:numPr>
        <w:ind w:left="851" w:hanging="491"/>
        <w:rPr>
          <w:sz w:val="22"/>
          <w:szCs w:val="22"/>
        </w:rPr>
      </w:pPr>
      <w:r w:rsidRPr="00D75BA8">
        <w:rPr>
          <w:sz w:val="22"/>
          <w:szCs w:val="22"/>
        </w:rPr>
        <w:t xml:space="preserve">Preventing and reducing harm from alcohol misuse in adults </w:t>
      </w:r>
    </w:p>
    <w:p w:rsidR="0090186A" w:rsidRPr="00D75BA8" w:rsidRDefault="0090186A" w:rsidP="0090186A">
      <w:pPr>
        <w:pStyle w:val="Default"/>
        <w:numPr>
          <w:ilvl w:val="0"/>
          <w:numId w:val="36"/>
        </w:numPr>
        <w:ind w:left="851" w:hanging="491"/>
        <w:rPr>
          <w:sz w:val="22"/>
          <w:szCs w:val="22"/>
        </w:rPr>
      </w:pPr>
      <w:r w:rsidRPr="00D75BA8">
        <w:rPr>
          <w:sz w:val="22"/>
          <w:szCs w:val="22"/>
        </w:rPr>
        <w:t xml:space="preserve">Specialist drugs and alcohol misuse services for children and young people </w:t>
      </w:r>
    </w:p>
    <w:p w:rsidR="0090186A" w:rsidRPr="00D75BA8" w:rsidRDefault="0090186A" w:rsidP="0090186A">
      <w:pPr>
        <w:pStyle w:val="Default"/>
        <w:numPr>
          <w:ilvl w:val="0"/>
          <w:numId w:val="36"/>
        </w:numPr>
        <w:ind w:left="851" w:hanging="491"/>
        <w:rPr>
          <w:sz w:val="22"/>
          <w:szCs w:val="22"/>
        </w:rPr>
      </w:pPr>
      <w:r w:rsidRPr="00D75BA8">
        <w:rPr>
          <w:sz w:val="22"/>
          <w:szCs w:val="22"/>
        </w:rPr>
        <w:t xml:space="preserve">Stop smoking services and interventions </w:t>
      </w:r>
    </w:p>
    <w:p w:rsidR="0090186A" w:rsidRPr="00D75BA8" w:rsidRDefault="0090186A" w:rsidP="0090186A">
      <w:pPr>
        <w:pStyle w:val="Default"/>
        <w:numPr>
          <w:ilvl w:val="0"/>
          <w:numId w:val="36"/>
        </w:numPr>
        <w:ind w:left="851" w:hanging="491"/>
        <w:rPr>
          <w:sz w:val="22"/>
          <w:szCs w:val="22"/>
        </w:rPr>
      </w:pPr>
      <w:r w:rsidRPr="00D75BA8">
        <w:rPr>
          <w:sz w:val="22"/>
          <w:szCs w:val="22"/>
        </w:rPr>
        <w:t xml:space="preserve">Wider tobacco control </w:t>
      </w:r>
    </w:p>
    <w:p w:rsidR="0090186A" w:rsidRPr="00D75BA8" w:rsidRDefault="0090186A" w:rsidP="0090186A">
      <w:pPr>
        <w:pStyle w:val="Default"/>
        <w:numPr>
          <w:ilvl w:val="0"/>
          <w:numId w:val="36"/>
        </w:numPr>
        <w:ind w:left="851" w:hanging="491"/>
        <w:rPr>
          <w:sz w:val="22"/>
          <w:szCs w:val="22"/>
        </w:rPr>
      </w:pPr>
      <w:r w:rsidRPr="00D75BA8">
        <w:rPr>
          <w:sz w:val="22"/>
          <w:szCs w:val="22"/>
        </w:rPr>
        <w:t xml:space="preserve">Children 5-19 public health programmes </w:t>
      </w:r>
    </w:p>
    <w:p w:rsidR="0090186A" w:rsidRPr="00D75BA8" w:rsidRDefault="0090186A" w:rsidP="0090186A">
      <w:pPr>
        <w:pStyle w:val="Default"/>
        <w:numPr>
          <w:ilvl w:val="0"/>
          <w:numId w:val="36"/>
        </w:numPr>
        <w:ind w:left="851" w:hanging="491"/>
        <w:rPr>
          <w:sz w:val="22"/>
          <w:szCs w:val="22"/>
        </w:rPr>
      </w:pPr>
      <w:r w:rsidRPr="00D75BA8">
        <w:rPr>
          <w:sz w:val="22"/>
          <w:szCs w:val="22"/>
        </w:rPr>
        <w:t xml:space="preserve">Other Children’s 0-5 services non prescribed </w:t>
      </w:r>
    </w:p>
    <w:p w:rsidR="0090186A" w:rsidRPr="00D75BA8" w:rsidRDefault="0090186A" w:rsidP="0090186A">
      <w:pPr>
        <w:pStyle w:val="ListParagraph"/>
        <w:numPr>
          <w:ilvl w:val="0"/>
          <w:numId w:val="36"/>
        </w:numPr>
        <w:ind w:left="851" w:hanging="491"/>
        <w:rPr>
          <w:rFonts w:ascii="Arial" w:hAnsi="Arial" w:cs="Arial"/>
        </w:rPr>
      </w:pPr>
      <w:r w:rsidRPr="00D75BA8">
        <w:rPr>
          <w:rFonts w:ascii="Arial" w:hAnsi="Arial" w:cs="Arial"/>
        </w:rPr>
        <w:t>Health at work</w:t>
      </w:r>
    </w:p>
    <w:p w:rsidR="0090186A" w:rsidRPr="00D75BA8" w:rsidRDefault="0090186A" w:rsidP="00B41B96">
      <w:pPr>
        <w:pStyle w:val="ListParagraph"/>
        <w:numPr>
          <w:ilvl w:val="0"/>
          <w:numId w:val="36"/>
        </w:numPr>
        <w:spacing w:before="100" w:beforeAutospacing="1" w:after="100" w:afterAutospacing="1" w:line="240" w:lineRule="auto"/>
        <w:ind w:left="851" w:hanging="491"/>
        <w:rPr>
          <w:rFonts w:ascii="Arial" w:hAnsi="Arial" w:cs="Arial"/>
        </w:rPr>
      </w:pPr>
      <w:r w:rsidRPr="00D75BA8">
        <w:rPr>
          <w:rFonts w:ascii="Arial" w:hAnsi="Arial" w:cs="Arial"/>
        </w:rPr>
        <w:lastRenderedPageBreak/>
        <w:t xml:space="preserve">Public mental health </w:t>
      </w:r>
    </w:p>
    <w:p w:rsidR="0090186A" w:rsidRPr="00D75BA8" w:rsidRDefault="0090186A" w:rsidP="00B41B96">
      <w:pPr>
        <w:pStyle w:val="Default"/>
        <w:numPr>
          <w:ilvl w:val="0"/>
          <w:numId w:val="36"/>
        </w:numPr>
        <w:spacing w:before="100" w:beforeAutospacing="1" w:after="100" w:afterAutospacing="1"/>
        <w:ind w:left="851" w:hanging="491"/>
        <w:contextualSpacing/>
        <w:rPr>
          <w:sz w:val="22"/>
          <w:szCs w:val="22"/>
        </w:rPr>
      </w:pPr>
      <w:r w:rsidRPr="00D75BA8">
        <w:rPr>
          <w:sz w:val="22"/>
          <w:szCs w:val="22"/>
        </w:rPr>
        <w:t xml:space="preserve">Miscellaneous, which includes: </w:t>
      </w:r>
    </w:p>
    <w:p w:rsidR="0090186A" w:rsidRPr="00D75BA8" w:rsidRDefault="0090186A" w:rsidP="00B41B96">
      <w:pPr>
        <w:pStyle w:val="Default"/>
        <w:numPr>
          <w:ilvl w:val="0"/>
          <w:numId w:val="37"/>
        </w:numPr>
        <w:spacing w:before="100" w:beforeAutospacing="1" w:after="100" w:afterAutospacing="1"/>
        <w:contextualSpacing/>
        <w:rPr>
          <w:sz w:val="22"/>
          <w:szCs w:val="22"/>
        </w:rPr>
      </w:pPr>
      <w:r w:rsidRPr="00D75BA8">
        <w:rPr>
          <w:sz w:val="22"/>
          <w:szCs w:val="22"/>
        </w:rPr>
        <w:t xml:space="preserve">Nutrition initiatives </w:t>
      </w:r>
    </w:p>
    <w:p w:rsidR="0090186A" w:rsidRPr="00D75BA8" w:rsidRDefault="0090186A" w:rsidP="00B41B96">
      <w:pPr>
        <w:pStyle w:val="Default"/>
        <w:numPr>
          <w:ilvl w:val="0"/>
          <w:numId w:val="37"/>
        </w:numPr>
        <w:spacing w:before="100" w:beforeAutospacing="1" w:after="100" w:afterAutospacing="1"/>
        <w:contextualSpacing/>
        <w:rPr>
          <w:sz w:val="22"/>
          <w:szCs w:val="22"/>
        </w:rPr>
      </w:pPr>
      <w:r w:rsidRPr="00D75BA8">
        <w:rPr>
          <w:sz w:val="22"/>
          <w:szCs w:val="22"/>
        </w:rPr>
        <w:t xml:space="preserve">Accidents Prevention </w:t>
      </w:r>
    </w:p>
    <w:p w:rsidR="0090186A" w:rsidRPr="00D75BA8" w:rsidRDefault="0090186A" w:rsidP="00B41B96">
      <w:pPr>
        <w:pStyle w:val="Default"/>
        <w:numPr>
          <w:ilvl w:val="0"/>
          <w:numId w:val="37"/>
        </w:numPr>
        <w:spacing w:before="100" w:beforeAutospacing="1" w:after="100" w:afterAutospacing="1"/>
        <w:contextualSpacing/>
        <w:rPr>
          <w:sz w:val="22"/>
          <w:szCs w:val="22"/>
        </w:rPr>
      </w:pPr>
      <w:r w:rsidRPr="00D75BA8">
        <w:rPr>
          <w:sz w:val="22"/>
          <w:szCs w:val="22"/>
        </w:rPr>
        <w:t xml:space="preserve">General prevention </w:t>
      </w:r>
    </w:p>
    <w:p w:rsidR="0090186A" w:rsidRPr="00D75BA8" w:rsidRDefault="0090186A" w:rsidP="00B41B96">
      <w:pPr>
        <w:pStyle w:val="Default"/>
        <w:numPr>
          <w:ilvl w:val="0"/>
          <w:numId w:val="37"/>
        </w:numPr>
        <w:spacing w:before="100" w:beforeAutospacing="1" w:after="100" w:afterAutospacing="1"/>
        <w:contextualSpacing/>
        <w:rPr>
          <w:sz w:val="22"/>
          <w:szCs w:val="22"/>
        </w:rPr>
      </w:pPr>
      <w:r w:rsidRPr="00D75BA8">
        <w:rPr>
          <w:sz w:val="22"/>
          <w:szCs w:val="22"/>
        </w:rPr>
        <w:t xml:space="preserve">Community safety, violence prevention &amp; social exclusion </w:t>
      </w:r>
    </w:p>
    <w:p w:rsidR="0090186A" w:rsidRPr="00D75BA8" w:rsidRDefault="0090186A" w:rsidP="00B41B96">
      <w:pPr>
        <w:pStyle w:val="Default"/>
        <w:numPr>
          <w:ilvl w:val="0"/>
          <w:numId w:val="37"/>
        </w:numPr>
        <w:spacing w:before="100" w:beforeAutospacing="1" w:after="100" w:afterAutospacing="1"/>
        <w:contextualSpacing/>
        <w:rPr>
          <w:sz w:val="22"/>
          <w:szCs w:val="22"/>
        </w:rPr>
      </w:pPr>
      <w:r w:rsidRPr="00D75BA8">
        <w:rPr>
          <w:sz w:val="22"/>
          <w:szCs w:val="22"/>
        </w:rPr>
        <w:t xml:space="preserve">Dental public health </w:t>
      </w:r>
    </w:p>
    <w:p w:rsidR="0090186A" w:rsidRPr="00D75BA8" w:rsidRDefault="0090186A" w:rsidP="00B41B96">
      <w:pPr>
        <w:pStyle w:val="Default"/>
        <w:numPr>
          <w:ilvl w:val="0"/>
          <w:numId w:val="37"/>
        </w:numPr>
        <w:spacing w:before="100" w:beforeAutospacing="1" w:after="100" w:afterAutospacing="1"/>
        <w:contextualSpacing/>
        <w:rPr>
          <w:sz w:val="22"/>
          <w:szCs w:val="22"/>
        </w:rPr>
      </w:pPr>
      <w:r w:rsidRPr="00D75BA8">
        <w:rPr>
          <w:sz w:val="22"/>
          <w:szCs w:val="22"/>
        </w:rPr>
        <w:t xml:space="preserve">Fluoridation </w:t>
      </w:r>
    </w:p>
    <w:p w:rsidR="0090186A" w:rsidRPr="00D75BA8" w:rsidRDefault="0090186A" w:rsidP="00B41B96">
      <w:pPr>
        <w:pStyle w:val="Default"/>
        <w:numPr>
          <w:ilvl w:val="0"/>
          <w:numId w:val="37"/>
        </w:numPr>
        <w:spacing w:before="100" w:beforeAutospacing="1" w:after="100" w:afterAutospacing="1"/>
        <w:contextualSpacing/>
        <w:rPr>
          <w:sz w:val="22"/>
          <w:szCs w:val="22"/>
        </w:rPr>
      </w:pPr>
      <w:r w:rsidRPr="00D75BA8">
        <w:rPr>
          <w:sz w:val="22"/>
          <w:szCs w:val="22"/>
        </w:rPr>
        <w:t xml:space="preserve">Infectious disease surveillance and control </w:t>
      </w:r>
    </w:p>
    <w:p w:rsidR="0090186A" w:rsidRPr="00D75BA8" w:rsidRDefault="0090186A" w:rsidP="00B41B96">
      <w:pPr>
        <w:pStyle w:val="Default"/>
        <w:numPr>
          <w:ilvl w:val="0"/>
          <w:numId w:val="37"/>
        </w:numPr>
        <w:spacing w:before="100" w:beforeAutospacing="1" w:after="100" w:afterAutospacing="1"/>
        <w:contextualSpacing/>
        <w:rPr>
          <w:sz w:val="22"/>
          <w:szCs w:val="22"/>
        </w:rPr>
      </w:pPr>
      <w:r w:rsidRPr="00D75BA8">
        <w:rPr>
          <w:sz w:val="22"/>
          <w:szCs w:val="22"/>
        </w:rPr>
        <w:t xml:space="preserve">Environmental hazards protection </w:t>
      </w:r>
    </w:p>
    <w:p w:rsidR="0090186A" w:rsidRPr="00D75BA8" w:rsidRDefault="0090186A" w:rsidP="00B41B96">
      <w:pPr>
        <w:pStyle w:val="Default"/>
        <w:numPr>
          <w:ilvl w:val="0"/>
          <w:numId w:val="37"/>
        </w:numPr>
        <w:spacing w:before="100" w:beforeAutospacing="1" w:after="100" w:afterAutospacing="1"/>
        <w:contextualSpacing/>
        <w:rPr>
          <w:sz w:val="22"/>
          <w:szCs w:val="22"/>
        </w:rPr>
      </w:pPr>
      <w:r w:rsidRPr="00D75BA8">
        <w:rPr>
          <w:sz w:val="22"/>
          <w:szCs w:val="22"/>
        </w:rPr>
        <w:t xml:space="preserve">Seasonal death reduction initiatives </w:t>
      </w:r>
    </w:p>
    <w:p w:rsidR="0090186A" w:rsidRPr="00D75BA8" w:rsidRDefault="0090186A" w:rsidP="00B41B96">
      <w:pPr>
        <w:pStyle w:val="Default"/>
        <w:numPr>
          <w:ilvl w:val="0"/>
          <w:numId w:val="37"/>
        </w:numPr>
        <w:spacing w:before="100" w:beforeAutospacing="1" w:after="100" w:afterAutospacing="1"/>
        <w:contextualSpacing/>
        <w:rPr>
          <w:sz w:val="22"/>
          <w:szCs w:val="22"/>
        </w:rPr>
      </w:pPr>
      <w:r w:rsidRPr="00D75BA8">
        <w:rPr>
          <w:sz w:val="22"/>
          <w:szCs w:val="22"/>
        </w:rPr>
        <w:t xml:space="preserve">Birth defect preventions </w:t>
      </w:r>
    </w:p>
    <w:p w:rsidR="0090186A" w:rsidRPr="00D75BA8" w:rsidRDefault="0090186A" w:rsidP="00B41B96">
      <w:pPr>
        <w:pStyle w:val="ListParagraph"/>
        <w:numPr>
          <w:ilvl w:val="0"/>
          <w:numId w:val="37"/>
        </w:numPr>
        <w:spacing w:before="100" w:beforeAutospacing="1" w:after="100" w:afterAutospacing="1" w:line="240" w:lineRule="auto"/>
        <w:rPr>
          <w:rFonts w:ascii="Arial" w:hAnsi="Arial" w:cs="Arial"/>
        </w:rPr>
      </w:pPr>
      <w:r w:rsidRPr="00D75BA8">
        <w:rPr>
          <w:rFonts w:ascii="Arial" w:hAnsi="Arial" w:cs="Arial"/>
        </w:rPr>
        <w:t>Other public health services</w:t>
      </w:r>
    </w:p>
    <w:p w:rsidR="0090186A" w:rsidRPr="00D75BA8" w:rsidRDefault="0090186A" w:rsidP="0090186A">
      <w:pPr>
        <w:rPr>
          <w:rFonts w:cs="Arial"/>
          <w:sz w:val="22"/>
          <w:szCs w:val="22"/>
        </w:rPr>
      </w:pPr>
    </w:p>
    <w:p w:rsidR="00EF3D98" w:rsidRPr="00E96392" w:rsidRDefault="00341D2C" w:rsidP="00E96392">
      <w:pPr>
        <w:pStyle w:val="Heading2"/>
        <w:spacing w:after="100" w:afterAutospacing="1"/>
        <w:rPr>
          <w:sz w:val="22"/>
          <w:szCs w:val="22"/>
        </w:rPr>
      </w:pPr>
      <w:bookmarkStart w:id="4" w:name="_Toc483994442"/>
      <w:r w:rsidRPr="00E96392">
        <w:rPr>
          <w:sz w:val="22"/>
          <w:szCs w:val="22"/>
        </w:rPr>
        <w:t>1.3</w:t>
      </w:r>
      <w:r w:rsidRPr="00E96392">
        <w:rPr>
          <w:sz w:val="22"/>
          <w:szCs w:val="22"/>
        </w:rPr>
        <w:tab/>
      </w:r>
      <w:r w:rsidR="00EF3D98" w:rsidRPr="00E96392">
        <w:rPr>
          <w:sz w:val="22"/>
          <w:szCs w:val="22"/>
        </w:rPr>
        <w:t>The Public Health Grant</w:t>
      </w:r>
      <w:bookmarkEnd w:id="4"/>
    </w:p>
    <w:p w:rsidR="00EF3D98" w:rsidRPr="00E96392" w:rsidRDefault="00EF3D98" w:rsidP="00E96392">
      <w:pPr>
        <w:overflowPunct/>
        <w:autoSpaceDE/>
        <w:autoSpaceDN/>
        <w:adjustRightInd/>
        <w:spacing w:after="100" w:afterAutospacing="1"/>
        <w:ind w:left="360"/>
        <w:contextualSpacing/>
        <w:textAlignment w:val="auto"/>
        <w:rPr>
          <w:rFonts w:eastAsia="Calibri" w:cs="Arial"/>
          <w:sz w:val="22"/>
          <w:szCs w:val="22"/>
          <w:lang w:val="en-GB"/>
        </w:rPr>
      </w:pPr>
    </w:p>
    <w:p w:rsidR="00EF3D98" w:rsidRPr="00E96392" w:rsidRDefault="00EF3D98" w:rsidP="00E96392">
      <w:pPr>
        <w:numPr>
          <w:ilvl w:val="0"/>
          <w:numId w:val="2"/>
        </w:numPr>
        <w:overflowPunct/>
        <w:autoSpaceDE/>
        <w:autoSpaceDN/>
        <w:adjustRightInd/>
        <w:spacing w:after="100" w:afterAutospacing="1"/>
        <w:contextualSpacing/>
        <w:textAlignment w:val="auto"/>
        <w:rPr>
          <w:rFonts w:eastAsia="Calibri" w:cs="Arial"/>
          <w:vanish/>
          <w:sz w:val="22"/>
          <w:szCs w:val="22"/>
          <w:lang w:val="en-GB"/>
        </w:rPr>
      </w:pPr>
    </w:p>
    <w:p w:rsidR="00D41808" w:rsidRPr="00D41808" w:rsidRDefault="00D41808" w:rsidP="00893B48">
      <w:pPr>
        <w:spacing w:after="200" w:line="276" w:lineRule="auto"/>
        <w:jc w:val="both"/>
        <w:rPr>
          <w:rFonts w:eastAsia="Calibri" w:cs="Arial"/>
          <w:sz w:val="22"/>
          <w:szCs w:val="22"/>
        </w:rPr>
      </w:pPr>
      <w:r w:rsidRPr="00D41808">
        <w:rPr>
          <w:rFonts w:eastAsia="Calibri" w:cs="Arial"/>
          <w:sz w:val="22"/>
          <w:szCs w:val="22"/>
        </w:rPr>
        <w:t>The Public Health Grant is committed according to the Council’s budget book. In general terms, the investment is split across 3 areas, firstly non-controllable commissioned services, secondly controllable public health advice and corporate recharges and finally the wider determinants fund (i.e. realigned services) and contingency. The Local Authority Circular Gateway 18552 stipulates the conditions for the grant, and the monitoring arrangements.</w:t>
      </w:r>
    </w:p>
    <w:p w:rsidR="00D41808" w:rsidRPr="00D41808" w:rsidRDefault="00D41808" w:rsidP="00893B48">
      <w:pPr>
        <w:spacing w:after="200" w:line="276" w:lineRule="auto"/>
        <w:jc w:val="both"/>
        <w:rPr>
          <w:rFonts w:eastAsia="Calibri" w:cs="Arial"/>
          <w:sz w:val="22"/>
          <w:szCs w:val="22"/>
        </w:rPr>
      </w:pPr>
      <w:r w:rsidRPr="00D41808">
        <w:rPr>
          <w:rFonts w:eastAsia="Calibri" w:cs="Arial"/>
          <w:sz w:val="22"/>
          <w:szCs w:val="22"/>
        </w:rPr>
        <w:t xml:space="preserve">The first area of investment is in the public health commissioned services provided by external bodies. This investment is directly linked to contracts and is non-controllable. </w:t>
      </w:r>
    </w:p>
    <w:p w:rsidR="00D41808" w:rsidRPr="00D41808" w:rsidRDefault="00D41808" w:rsidP="00893B48">
      <w:pPr>
        <w:spacing w:after="200" w:line="276" w:lineRule="auto"/>
        <w:jc w:val="both"/>
        <w:rPr>
          <w:rFonts w:eastAsia="Calibri" w:cs="Arial"/>
          <w:sz w:val="22"/>
          <w:szCs w:val="22"/>
        </w:rPr>
      </w:pPr>
      <w:r w:rsidRPr="00D41808">
        <w:rPr>
          <w:rFonts w:eastAsia="Calibri" w:cs="Arial"/>
          <w:sz w:val="22"/>
          <w:szCs w:val="22"/>
        </w:rPr>
        <w:t xml:space="preserve">The second area of investment includes the staff salaries and controllable expenditure that is not linked to a contract but is used over the course of the year to improve health and reduce health inequalities. </w:t>
      </w:r>
    </w:p>
    <w:p w:rsidR="00D41808" w:rsidRPr="00D41808" w:rsidRDefault="00D41808" w:rsidP="00893B48">
      <w:pPr>
        <w:spacing w:after="200" w:line="276" w:lineRule="auto"/>
        <w:jc w:val="both"/>
        <w:rPr>
          <w:rFonts w:eastAsia="Calibri" w:cs="Arial"/>
          <w:sz w:val="22"/>
          <w:szCs w:val="22"/>
        </w:rPr>
      </w:pPr>
      <w:r w:rsidRPr="00D41808">
        <w:rPr>
          <w:rFonts w:eastAsia="Calibri" w:cs="Arial"/>
          <w:sz w:val="22"/>
          <w:szCs w:val="22"/>
        </w:rPr>
        <w:t xml:space="preserve">The third area of investment includes both the wider determinants fund where the public health grant is used to resource activity (commissioned or provided) by another part of the Council that meets the Public Health Grant conditions and a small contingency for activity based contracts, which may over perform over the course of the financial year. </w:t>
      </w:r>
    </w:p>
    <w:p w:rsidR="00D41808" w:rsidRDefault="00D41808" w:rsidP="00893B48">
      <w:pPr>
        <w:spacing w:after="200" w:line="276" w:lineRule="auto"/>
        <w:jc w:val="both"/>
        <w:rPr>
          <w:rFonts w:eastAsia="Calibri" w:cs="Arial"/>
          <w:sz w:val="22"/>
          <w:szCs w:val="22"/>
        </w:rPr>
      </w:pPr>
      <w:r w:rsidRPr="00D41808">
        <w:rPr>
          <w:rFonts w:eastAsia="Calibri" w:cs="Arial"/>
          <w:sz w:val="22"/>
          <w:szCs w:val="22"/>
        </w:rPr>
        <w:t>This Public Health Commissioning Strategy explicitly addresses the first and third areas of expenditure although the expenditure on staff costs is directly related to the commissioning activity proposed.</w:t>
      </w:r>
    </w:p>
    <w:p w:rsidR="00D41808" w:rsidRDefault="00D41808" w:rsidP="00D41808">
      <w:pPr>
        <w:rPr>
          <w:rFonts w:eastAsia="Calibri" w:cs="Arial"/>
          <w:sz w:val="22"/>
          <w:szCs w:val="22"/>
        </w:rPr>
      </w:pPr>
    </w:p>
    <w:p w:rsidR="00AF234B" w:rsidRPr="00490CEF" w:rsidRDefault="00AF234B" w:rsidP="00D41808">
      <w:pPr>
        <w:rPr>
          <w:i/>
        </w:rPr>
      </w:pPr>
      <w:r w:rsidRPr="00490CEF">
        <w:rPr>
          <w:i/>
        </w:rPr>
        <w:t>Use of the Public Health Grant since 2013</w:t>
      </w:r>
    </w:p>
    <w:p w:rsidR="00AF234B" w:rsidRDefault="00AF234B" w:rsidP="00AF234B"/>
    <w:p w:rsidR="00D41808" w:rsidRDefault="00D41808" w:rsidP="00893B48">
      <w:pPr>
        <w:spacing w:after="200" w:line="276" w:lineRule="auto"/>
        <w:jc w:val="both"/>
        <w:rPr>
          <w:sz w:val="22"/>
        </w:rPr>
      </w:pPr>
      <w:r w:rsidRPr="00D41808">
        <w:rPr>
          <w:sz w:val="22"/>
        </w:rPr>
        <w:t>The table below shows how the Public Health grant has been allocated to date (Table 1). There was a significant increase in the grant in 15/16 and 16/17 as a result of the novation (the transfer of a new contract) of public health 0-5 services to the local authority. This increase masks the true cost of the services £6.725m in 2015 and 2016/17 but a grant increase of only £4.857m.</w:t>
      </w:r>
    </w:p>
    <w:p w:rsidR="00D41808" w:rsidRPr="00D41808" w:rsidRDefault="00D41808" w:rsidP="00893B48">
      <w:pPr>
        <w:spacing w:after="200" w:line="276" w:lineRule="auto"/>
        <w:jc w:val="both"/>
        <w:rPr>
          <w:sz w:val="22"/>
        </w:rPr>
      </w:pPr>
      <w:r w:rsidRPr="00D41808">
        <w:rPr>
          <w:sz w:val="22"/>
        </w:rPr>
        <w:t xml:space="preserve">In Doncaster, the public health grant is also supplemented by additional income from outside bodies, other local and regional funding streams including the Better Care Fund, grants from </w:t>
      </w:r>
      <w:r w:rsidRPr="00D41808">
        <w:rPr>
          <w:sz w:val="22"/>
        </w:rPr>
        <w:lastRenderedPageBreak/>
        <w:t xml:space="preserve">the Police and Crime Commissioner and Public Health England, finally the public health team generates income through </w:t>
      </w:r>
      <w:proofErr w:type="spellStart"/>
      <w:r w:rsidRPr="00D41808">
        <w:rPr>
          <w:sz w:val="22"/>
        </w:rPr>
        <w:t>secondments</w:t>
      </w:r>
      <w:proofErr w:type="spellEnd"/>
      <w:r w:rsidRPr="00D41808">
        <w:rPr>
          <w:sz w:val="22"/>
        </w:rPr>
        <w:t xml:space="preserve"> or supplying public health expertise to external bodies.  </w:t>
      </w:r>
    </w:p>
    <w:p w:rsidR="00AF234B" w:rsidRDefault="00D41808" w:rsidP="00893B48">
      <w:pPr>
        <w:spacing w:after="200" w:line="276" w:lineRule="auto"/>
        <w:jc w:val="both"/>
      </w:pPr>
      <w:r w:rsidRPr="00D41808">
        <w:rPr>
          <w:sz w:val="22"/>
        </w:rPr>
        <w:t>In 2013 the wider determinants fund was created from the public health grant. This has been used to realign public health services previously delivered by the council that meet the criteria for public health grant.</w:t>
      </w:r>
    </w:p>
    <w:p w:rsidR="00AF234B" w:rsidRPr="001D4F05" w:rsidRDefault="00AF234B" w:rsidP="00AF234B">
      <w:pPr>
        <w:rPr>
          <w:sz w:val="22"/>
        </w:rPr>
      </w:pPr>
      <w:r w:rsidRPr="001D4F05">
        <w:rPr>
          <w:b/>
          <w:sz w:val="22"/>
        </w:rPr>
        <w:t xml:space="preserve">Table </w:t>
      </w:r>
      <w:r w:rsidR="000A1B52">
        <w:rPr>
          <w:b/>
          <w:sz w:val="22"/>
        </w:rPr>
        <w:t>1</w:t>
      </w:r>
      <w:r w:rsidRPr="001D4F05">
        <w:rPr>
          <w:b/>
          <w:sz w:val="22"/>
        </w:rPr>
        <w:t>:</w:t>
      </w:r>
      <w:r w:rsidRPr="001D4F05">
        <w:rPr>
          <w:sz w:val="22"/>
        </w:rPr>
        <w:t xml:space="preserve"> Public Health Grant 2013/14 to 2016/17</w:t>
      </w:r>
    </w:p>
    <w:p w:rsidR="00AF234B" w:rsidRDefault="00AF234B" w:rsidP="00AF234B"/>
    <w:tbl>
      <w:tblPr>
        <w:tblW w:w="8340" w:type="dxa"/>
        <w:tblInd w:w="93" w:type="dxa"/>
        <w:tblLook w:val="04A0" w:firstRow="1" w:lastRow="0" w:firstColumn="1" w:lastColumn="0" w:noHBand="0" w:noVBand="1"/>
      </w:tblPr>
      <w:tblGrid>
        <w:gridCol w:w="4500"/>
        <w:gridCol w:w="953"/>
        <w:gridCol w:w="967"/>
        <w:gridCol w:w="960"/>
        <w:gridCol w:w="960"/>
      </w:tblGrid>
      <w:tr w:rsidR="00AF234B" w:rsidRPr="00EA69AE" w:rsidTr="001D4F05">
        <w:trPr>
          <w:trHeight w:val="697"/>
        </w:trPr>
        <w:tc>
          <w:tcPr>
            <w:tcW w:w="45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F234B" w:rsidRPr="00E96392" w:rsidRDefault="00AF234B" w:rsidP="001D4F05">
            <w:pPr>
              <w:rPr>
                <w:rFonts w:cs="Arial"/>
                <w:color w:val="000000"/>
                <w:sz w:val="22"/>
                <w:szCs w:val="22"/>
                <w:lang w:eastAsia="en-GB"/>
              </w:rPr>
            </w:pPr>
          </w:p>
        </w:tc>
        <w:tc>
          <w:tcPr>
            <w:tcW w:w="953" w:type="dxa"/>
            <w:tcBorders>
              <w:top w:val="single" w:sz="8" w:space="0" w:color="auto"/>
              <w:left w:val="nil"/>
              <w:bottom w:val="single" w:sz="8" w:space="0" w:color="auto"/>
              <w:right w:val="single" w:sz="8" w:space="0" w:color="auto"/>
            </w:tcBorders>
            <w:shd w:val="clear" w:color="auto" w:fill="auto"/>
            <w:vAlign w:val="center"/>
          </w:tcPr>
          <w:p w:rsidR="00AF234B" w:rsidRPr="00E96392" w:rsidRDefault="003C7B02" w:rsidP="001D4F05">
            <w:pPr>
              <w:rPr>
                <w:rFonts w:cs="Arial"/>
                <w:color w:val="000000"/>
                <w:sz w:val="22"/>
                <w:szCs w:val="22"/>
                <w:lang w:eastAsia="en-GB"/>
              </w:rPr>
            </w:pPr>
            <w:r>
              <w:rPr>
                <w:rFonts w:cs="Arial"/>
                <w:color w:val="000000"/>
                <w:sz w:val="22"/>
                <w:szCs w:val="22"/>
                <w:lang w:eastAsia="en-GB"/>
              </w:rPr>
              <w:t xml:space="preserve">£ </w:t>
            </w:r>
            <w:r w:rsidR="00AF234B" w:rsidRPr="00E96392">
              <w:rPr>
                <w:rFonts w:cs="Arial"/>
                <w:color w:val="000000"/>
                <w:sz w:val="22"/>
                <w:szCs w:val="22"/>
                <w:lang w:eastAsia="en-GB"/>
              </w:rPr>
              <w:t>000s</w:t>
            </w:r>
          </w:p>
        </w:tc>
        <w:tc>
          <w:tcPr>
            <w:tcW w:w="967" w:type="dxa"/>
            <w:tcBorders>
              <w:top w:val="single" w:sz="8" w:space="0" w:color="auto"/>
              <w:left w:val="nil"/>
              <w:bottom w:val="single" w:sz="8" w:space="0" w:color="auto"/>
              <w:right w:val="single" w:sz="8" w:space="0" w:color="auto"/>
            </w:tcBorders>
            <w:shd w:val="clear" w:color="auto" w:fill="auto"/>
            <w:vAlign w:val="center"/>
          </w:tcPr>
          <w:p w:rsidR="00AF234B" w:rsidRPr="00E96392" w:rsidRDefault="003C7B02" w:rsidP="001D4F05">
            <w:pPr>
              <w:rPr>
                <w:rFonts w:cs="Arial"/>
                <w:color w:val="000000"/>
                <w:sz w:val="22"/>
                <w:szCs w:val="22"/>
                <w:lang w:eastAsia="en-GB"/>
              </w:rPr>
            </w:pPr>
            <w:r>
              <w:rPr>
                <w:rFonts w:cs="Arial"/>
                <w:color w:val="000000"/>
                <w:sz w:val="22"/>
                <w:szCs w:val="22"/>
                <w:lang w:eastAsia="en-GB"/>
              </w:rPr>
              <w:t xml:space="preserve">£ </w:t>
            </w:r>
            <w:r w:rsidR="00AF234B" w:rsidRPr="00E96392">
              <w:rPr>
                <w:rFonts w:cs="Arial"/>
                <w:color w:val="000000"/>
                <w:sz w:val="22"/>
                <w:szCs w:val="22"/>
                <w:lang w:eastAsia="en-GB"/>
              </w:rPr>
              <w:t>000s</w:t>
            </w:r>
          </w:p>
        </w:tc>
        <w:tc>
          <w:tcPr>
            <w:tcW w:w="960" w:type="dxa"/>
            <w:tcBorders>
              <w:top w:val="single" w:sz="8" w:space="0" w:color="auto"/>
              <w:left w:val="nil"/>
              <w:bottom w:val="single" w:sz="8" w:space="0" w:color="auto"/>
              <w:right w:val="single" w:sz="8" w:space="0" w:color="auto"/>
            </w:tcBorders>
            <w:shd w:val="clear" w:color="auto" w:fill="auto"/>
            <w:noWrap/>
            <w:vAlign w:val="center"/>
          </w:tcPr>
          <w:p w:rsidR="00AF234B" w:rsidRPr="00E96392" w:rsidRDefault="003C7B02" w:rsidP="001D4F05">
            <w:pPr>
              <w:rPr>
                <w:rFonts w:cs="Arial"/>
                <w:color w:val="000000"/>
                <w:sz w:val="22"/>
                <w:szCs w:val="22"/>
                <w:lang w:eastAsia="en-GB"/>
              </w:rPr>
            </w:pPr>
            <w:r>
              <w:rPr>
                <w:rFonts w:cs="Arial"/>
                <w:color w:val="000000"/>
                <w:sz w:val="22"/>
                <w:szCs w:val="22"/>
                <w:lang w:eastAsia="en-GB"/>
              </w:rPr>
              <w:t xml:space="preserve">£ </w:t>
            </w:r>
            <w:r w:rsidR="00AF234B" w:rsidRPr="00E96392">
              <w:rPr>
                <w:rFonts w:cs="Arial"/>
                <w:color w:val="000000"/>
                <w:sz w:val="22"/>
                <w:szCs w:val="22"/>
                <w:lang w:eastAsia="en-GB"/>
              </w:rPr>
              <w:t>000s</w:t>
            </w:r>
          </w:p>
        </w:tc>
        <w:tc>
          <w:tcPr>
            <w:tcW w:w="960" w:type="dxa"/>
            <w:tcBorders>
              <w:top w:val="single" w:sz="8" w:space="0" w:color="auto"/>
              <w:left w:val="nil"/>
              <w:bottom w:val="single" w:sz="8" w:space="0" w:color="auto"/>
              <w:right w:val="single" w:sz="8" w:space="0" w:color="auto"/>
            </w:tcBorders>
          </w:tcPr>
          <w:p w:rsidR="00AF234B" w:rsidRPr="00E96392" w:rsidRDefault="00AF234B" w:rsidP="001D4F05">
            <w:pPr>
              <w:rPr>
                <w:rFonts w:cs="Arial"/>
                <w:color w:val="000000"/>
                <w:sz w:val="22"/>
                <w:szCs w:val="22"/>
                <w:lang w:eastAsia="en-GB"/>
              </w:rPr>
            </w:pPr>
            <w:r w:rsidRPr="00E96392">
              <w:rPr>
                <w:rFonts w:cs="Arial"/>
                <w:color w:val="000000"/>
                <w:sz w:val="22"/>
                <w:szCs w:val="22"/>
                <w:lang w:eastAsia="en-GB"/>
              </w:rPr>
              <w:br/>
            </w:r>
            <w:r w:rsidR="003C7B02">
              <w:rPr>
                <w:rFonts w:cs="Arial"/>
                <w:color w:val="000000"/>
                <w:sz w:val="22"/>
                <w:szCs w:val="22"/>
                <w:lang w:eastAsia="en-GB"/>
              </w:rPr>
              <w:t xml:space="preserve">£ </w:t>
            </w:r>
            <w:r w:rsidRPr="00E96392">
              <w:rPr>
                <w:rFonts w:cs="Arial"/>
                <w:color w:val="000000"/>
                <w:sz w:val="22"/>
                <w:szCs w:val="22"/>
                <w:lang w:eastAsia="en-GB"/>
              </w:rPr>
              <w:t>000s</w:t>
            </w:r>
          </w:p>
          <w:p w:rsidR="00AF234B" w:rsidRPr="00E96392" w:rsidRDefault="00AF234B" w:rsidP="001D4F05">
            <w:pPr>
              <w:rPr>
                <w:rFonts w:cs="Arial"/>
                <w:color w:val="000000"/>
                <w:sz w:val="22"/>
                <w:szCs w:val="22"/>
                <w:lang w:eastAsia="en-GB"/>
              </w:rPr>
            </w:pPr>
          </w:p>
        </w:tc>
      </w:tr>
      <w:tr w:rsidR="00AF234B" w:rsidRPr="00EA69AE" w:rsidTr="001D4F05">
        <w:trPr>
          <w:trHeight w:val="697"/>
        </w:trPr>
        <w:tc>
          <w:tcPr>
            <w:tcW w:w="45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F234B" w:rsidRPr="00E96392" w:rsidRDefault="00E96392" w:rsidP="001D4F05">
            <w:pPr>
              <w:rPr>
                <w:rFonts w:cs="Arial"/>
                <w:color w:val="000000"/>
                <w:sz w:val="22"/>
                <w:szCs w:val="22"/>
                <w:lang w:eastAsia="en-GB"/>
              </w:rPr>
            </w:pPr>
            <w:r>
              <w:rPr>
                <w:rFonts w:cs="Arial"/>
                <w:color w:val="000000"/>
                <w:sz w:val="22"/>
                <w:szCs w:val="22"/>
                <w:lang w:eastAsia="en-GB"/>
              </w:rPr>
              <w:t>Year</w:t>
            </w:r>
          </w:p>
        </w:tc>
        <w:tc>
          <w:tcPr>
            <w:tcW w:w="953" w:type="dxa"/>
            <w:tcBorders>
              <w:top w:val="single" w:sz="8" w:space="0" w:color="auto"/>
              <w:left w:val="nil"/>
              <w:bottom w:val="single" w:sz="8" w:space="0" w:color="auto"/>
              <w:right w:val="single" w:sz="8" w:space="0" w:color="auto"/>
            </w:tcBorders>
            <w:shd w:val="clear" w:color="auto" w:fill="auto"/>
            <w:vAlign w:val="center"/>
            <w:hideMark/>
          </w:tcPr>
          <w:p w:rsidR="00AF234B" w:rsidRPr="00E96392" w:rsidRDefault="00AF234B" w:rsidP="001D4F05">
            <w:pPr>
              <w:rPr>
                <w:rFonts w:cs="Arial"/>
                <w:color w:val="000000"/>
                <w:sz w:val="22"/>
                <w:szCs w:val="22"/>
                <w:lang w:eastAsia="en-GB"/>
              </w:rPr>
            </w:pPr>
            <w:r w:rsidRPr="00E96392">
              <w:rPr>
                <w:rFonts w:cs="Arial"/>
                <w:color w:val="000000"/>
                <w:sz w:val="22"/>
                <w:szCs w:val="22"/>
                <w:lang w:eastAsia="en-GB"/>
              </w:rPr>
              <w:t>13/14</w:t>
            </w:r>
          </w:p>
        </w:tc>
        <w:tc>
          <w:tcPr>
            <w:tcW w:w="967" w:type="dxa"/>
            <w:tcBorders>
              <w:top w:val="single" w:sz="8" w:space="0" w:color="auto"/>
              <w:left w:val="nil"/>
              <w:bottom w:val="single" w:sz="8" w:space="0" w:color="auto"/>
              <w:right w:val="single" w:sz="8" w:space="0" w:color="auto"/>
            </w:tcBorders>
            <w:shd w:val="clear" w:color="auto" w:fill="auto"/>
            <w:vAlign w:val="center"/>
            <w:hideMark/>
          </w:tcPr>
          <w:p w:rsidR="00AF234B" w:rsidRPr="00E96392" w:rsidRDefault="00AF234B" w:rsidP="001D4F05">
            <w:pPr>
              <w:rPr>
                <w:rFonts w:cs="Arial"/>
                <w:color w:val="000000"/>
                <w:sz w:val="22"/>
                <w:szCs w:val="22"/>
                <w:lang w:eastAsia="en-GB"/>
              </w:rPr>
            </w:pPr>
            <w:r w:rsidRPr="00E96392">
              <w:rPr>
                <w:rFonts w:cs="Arial"/>
                <w:color w:val="000000"/>
                <w:sz w:val="22"/>
                <w:szCs w:val="22"/>
                <w:lang w:eastAsia="en-GB"/>
              </w:rPr>
              <w:t>14/15</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AF234B" w:rsidRPr="00E96392" w:rsidRDefault="00AF234B" w:rsidP="001D4F05">
            <w:pPr>
              <w:rPr>
                <w:rFonts w:cs="Arial"/>
                <w:color w:val="000000"/>
                <w:sz w:val="22"/>
                <w:szCs w:val="22"/>
                <w:lang w:eastAsia="en-GB"/>
              </w:rPr>
            </w:pPr>
            <w:r w:rsidRPr="00E96392">
              <w:rPr>
                <w:rFonts w:cs="Arial"/>
                <w:color w:val="000000"/>
                <w:sz w:val="22"/>
                <w:szCs w:val="22"/>
                <w:lang w:eastAsia="en-GB"/>
              </w:rPr>
              <w:t>15/16</w:t>
            </w:r>
          </w:p>
        </w:tc>
        <w:tc>
          <w:tcPr>
            <w:tcW w:w="960" w:type="dxa"/>
            <w:tcBorders>
              <w:top w:val="single" w:sz="8" w:space="0" w:color="auto"/>
              <w:left w:val="nil"/>
              <w:bottom w:val="single" w:sz="8" w:space="0" w:color="auto"/>
              <w:right w:val="single" w:sz="8" w:space="0" w:color="auto"/>
            </w:tcBorders>
          </w:tcPr>
          <w:p w:rsidR="00AF234B" w:rsidRPr="00E96392" w:rsidRDefault="00AF234B" w:rsidP="001D4F05">
            <w:pPr>
              <w:rPr>
                <w:rFonts w:cs="Arial"/>
                <w:color w:val="000000"/>
                <w:sz w:val="22"/>
                <w:szCs w:val="22"/>
                <w:lang w:eastAsia="en-GB"/>
              </w:rPr>
            </w:pPr>
          </w:p>
          <w:p w:rsidR="00AF234B" w:rsidRPr="00E96392" w:rsidRDefault="00AF234B" w:rsidP="001D4F05">
            <w:pPr>
              <w:rPr>
                <w:rFonts w:cs="Arial"/>
                <w:color w:val="000000"/>
                <w:sz w:val="22"/>
                <w:szCs w:val="22"/>
                <w:lang w:eastAsia="en-GB"/>
              </w:rPr>
            </w:pPr>
            <w:r w:rsidRPr="00E96392">
              <w:rPr>
                <w:rFonts w:cs="Arial"/>
                <w:color w:val="000000"/>
                <w:sz w:val="22"/>
                <w:szCs w:val="22"/>
                <w:lang w:eastAsia="en-GB"/>
              </w:rPr>
              <w:t>16/17</w:t>
            </w:r>
          </w:p>
        </w:tc>
      </w:tr>
      <w:tr w:rsidR="00AF234B" w:rsidRPr="00EA69AE" w:rsidTr="003C7B02">
        <w:trPr>
          <w:trHeight w:val="315"/>
        </w:trPr>
        <w:tc>
          <w:tcPr>
            <w:tcW w:w="4500" w:type="dxa"/>
            <w:tcBorders>
              <w:top w:val="nil"/>
              <w:left w:val="single" w:sz="8" w:space="0" w:color="auto"/>
              <w:bottom w:val="single" w:sz="8" w:space="0" w:color="auto"/>
              <w:right w:val="single" w:sz="8" w:space="0" w:color="auto"/>
            </w:tcBorders>
            <w:shd w:val="clear" w:color="auto" w:fill="auto"/>
            <w:noWrap/>
            <w:vAlign w:val="center"/>
            <w:hideMark/>
          </w:tcPr>
          <w:p w:rsidR="00AF234B" w:rsidRPr="00E96392" w:rsidRDefault="00AF234B" w:rsidP="001D4F05">
            <w:pPr>
              <w:rPr>
                <w:rFonts w:cs="Arial"/>
                <w:color w:val="000000"/>
                <w:sz w:val="22"/>
                <w:szCs w:val="22"/>
                <w:lang w:eastAsia="en-GB"/>
              </w:rPr>
            </w:pPr>
            <w:r w:rsidRPr="00E96392">
              <w:rPr>
                <w:rFonts w:cs="Arial"/>
                <w:color w:val="000000"/>
                <w:sz w:val="22"/>
                <w:szCs w:val="22"/>
                <w:lang w:eastAsia="en-GB"/>
              </w:rPr>
              <w:t>Public Health Grant</w:t>
            </w:r>
          </w:p>
        </w:tc>
        <w:tc>
          <w:tcPr>
            <w:tcW w:w="953" w:type="dxa"/>
            <w:tcBorders>
              <w:top w:val="nil"/>
              <w:left w:val="nil"/>
              <w:bottom w:val="single" w:sz="8" w:space="0" w:color="auto"/>
              <w:right w:val="single" w:sz="8" w:space="0" w:color="auto"/>
            </w:tcBorders>
            <w:shd w:val="clear" w:color="auto" w:fill="auto"/>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19,943</w:t>
            </w:r>
          </w:p>
        </w:tc>
        <w:tc>
          <w:tcPr>
            <w:tcW w:w="967" w:type="dxa"/>
            <w:tcBorders>
              <w:top w:val="nil"/>
              <w:left w:val="nil"/>
              <w:bottom w:val="single" w:sz="8" w:space="0" w:color="auto"/>
              <w:right w:val="single" w:sz="8" w:space="0" w:color="auto"/>
            </w:tcBorders>
            <w:shd w:val="clear" w:color="auto" w:fill="auto"/>
            <w:noWrap/>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20,198</w:t>
            </w:r>
          </w:p>
        </w:tc>
        <w:tc>
          <w:tcPr>
            <w:tcW w:w="960" w:type="dxa"/>
            <w:tcBorders>
              <w:top w:val="nil"/>
              <w:left w:val="nil"/>
              <w:bottom w:val="single" w:sz="8" w:space="0" w:color="auto"/>
              <w:right w:val="single" w:sz="8" w:space="0" w:color="auto"/>
            </w:tcBorders>
            <w:shd w:val="clear" w:color="auto" w:fill="auto"/>
            <w:noWrap/>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22,184</w:t>
            </w:r>
          </w:p>
        </w:tc>
        <w:tc>
          <w:tcPr>
            <w:tcW w:w="960" w:type="dxa"/>
            <w:tcBorders>
              <w:top w:val="nil"/>
              <w:left w:val="nil"/>
              <w:bottom w:val="single" w:sz="8" w:space="0" w:color="auto"/>
              <w:right w:val="single" w:sz="8" w:space="0" w:color="auto"/>
            </w:tcBorders>
            <w:vAlign w:val="center"/>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25,055</w:t>
            </w:r>
          </w:p>
        </w:tc>
      </w:tr>
      <w:tr w:rsidR="00AF234B" w:rsidRPr="00EA69AE" w:rsidTr="003C7B02">
        <w:trPr>
          <w:trHeight w:val="315"/>
        </w:trPr>
        <w:tc>
          <w:tcPr>
            <w:tcW w:w="4500" w:type="dxa"/>
            <w:tcBorders>
              <w:top w:val="nil"/>
              <w:left w:val="single" w:sz="8" w:space="0" w:color="auto"/>
              <w:bottom w:val="single" w:sz="8" w:space="0" w:color="auto"/>
              <w:right w:val="single" w:sz="8" w:space="0" w:color="auto"/>
            </w:tcBorders>
            <w:shd w:val="clear" w:color="auto" w:fill="auto"/>
            <w:noWrap/>
            <w:vAlign w:val="center"/>
          </w:tcPr>
          <w:p w:rsidR="00AF234B" w:rsidRPr="00E96392" w:rsidRDefault="00AF234B" w:rsidP="001D4F05">
            <w:pPr>
              <w:rPr>
                <w:rFonts w:cs="Arial"/>
                <w:color w:val="000000"/>
                <w:sz w:val="22"/>
                <w:szCs w:val="22"/>
                <w:lang w:eastAsia="en-GB"/>
              </w:rPr>
            </w:pPr>
            <w:r w:rsidRPr="00E96392">
              <w:rPr>
                <w:rFonts w:cs="Arial"/>
                <w:color w:val="000000"/>
                <w:sz w:val="22"/>
                <w:szCs w:val="22"/>
                <w:lang w:eastAsia="en-GB"/>
              </w:rPr>
              <w:t>Public Health other income</w:t>
            </w:r>
          </w:p>
        </w:tc>
        <w:tc>
          <w:tcPr>
            <w:tcW w:w="953" w:type="dxa"/>
            <w:tcBorders>
              <w:top w:val="nil"/>
              <w:left w:val="nil"/>
              <w:bottom w:val="single" w:sz="8" w:space="0" w:color="auto"/>
              <w:right w:val="single" w:sz="8" w:space="0" w:color="auto"/>
            </w:tcBorders>
            <w:shd w:val="clear" w:color="auto" w:fill="auto"/>
            <w:vAlign w:val="center"/>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326</w:t>
            </w:r>
          </w:p>
        </w:tc>
        <w:tc>
          <w:tcPr>
            <w:tcW w:w="967" w:type="dxa"/>
            <w:tcBorders>
              <w:top w:val="nil"/>
              <w:left w:val="nil"/>
              <w:bottom w:val="single" w:sz="8" w:space="0" w:color="auto"/>
              <w:right w:val="single" w:sz="8" w:space="0" w:color="auto"/>
            </w:tcBorders>
            <w:shd w:val="clear" w:color="auto" w:fill="auto"/>
            <w:noWrap/>
            <w:vAlign w:val="center"/>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326</w:t>
            </w:r>
          </w:p>
        </w:tc>
        <w:tc>
          <w:tcPr>
            <w:tcW w:w="960" w:type="dxa"/>
            <w:tcBorders>
              <w:top w:val="nil"/>
              <w:left w:val="nil"/>
              <w:bottom w:val="single" w:sz="8" w:space="0" w:color="auto"/>
              <w:right w:val="single" w:sz="8" w:space="0" w:color="auto"/>
            </w:tcBorders>
            <w:shd w:val="clear" w:color="auto" w:fill="auto"/>
            <w:noWrap/>
            <w:vAlign w:val="center"/>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468</w:t>
            </w:r>
          </w:p>
        </w:tc>
        <w:tc>
          <w:tcPr>
            <w:tcW w:w="960" w:type="dxa"/>
            <w:tcBorders>
              <w:top w:val="nil"/>
              <w:left w:val="nil"/>
              <w:bottom w:val="single" w:sz="8" w:space="0" w:color="auto"/>
              <w:right w:val="single" w:sz="8" w:space="0" w:color="auto"/>
            </w:tcBorders>
            <w:vAlign w:val="center"/>
          </w:tcPr>
          <w:p w:rsidR="00AF234B" w:rsidRPr="00E96392" w:rsidRDefault="00E74A31" w:rsidP="003C7B02">
            <w:pPr>
              <w:jc w:val="right"/>
              <w:rPr>
                <w:rFonts w:cs="Arial"/>
                <w:color w:val="000000"/>
                <w:sz w:val="22"/>
                <w:szCs w:val="22"/>
                <w:lang w:eastAsia="en-GB"/>
              </w:rPr>
            </w:pPr>
            <w:r>
              <w:rPr>
                <w:rFonts w:cs="Arial"/>
                <w:color w:val="000000"/>
                <w:sz w:val="22"/>
                <w:szCs w:val="22"/>
                <w:lang w:eastAsia="en-GB"/>
              </w:rPr>
              <w:t>605</w:t>
            </w:r>
          </w:p>
        </w:tc>
      </w:tr>
      <w:tr w:rsidR="00AF234B" w:rsidRPr="00EA69AE" w:rsidTr="003C7B02">
        <w:trPr>
          <w:trHeight w:val="315"/>
        </w:trPr>
        <w:tc>
          <w:tcPr>
            <w:tcW w:w="4500" w:type="dxa"/>
            <w:tcBorders>
              <w:top w:val="nil"/>
              <w:left w:val="single" w:sz="8" w:space="0" w:color="auto"/>
              <w:bottom w:val="single" w:sz="8" w:space="0" w:color="auto"/>
              <w:right w:val="single" w:sz="8" w:space="0" w:color="auto"/>
            </w:tcBorders>
            <w:shd w:val="clear" w:color="auto" w:fill="auto"/>
            <w:noWrap/>
            <w:vAlign w:val="center"/>
            <w:hideMark/>
          </w:tcPr>
          <w:p w:rsidR="00AF234B" w:rsidRPr="001D4F05" w:rsidRDefault="00AF234B" w:rsidP="001D4F05">
            <w:pPr>
              <w:rPr>
                <w:rFonts w:cs="Arial"/>
                <w:b/>
                <w:color w:val="000000"/>
                <w:sz w:val="22"/>
                <w:szCs w:val="22"/>
                <w:lang w:eastAsia="en-GB"/>
              </w:rPr>
            </w:pPr>
            <w:r w:rsidRPr="001D4F05">
              <w:rPr>
                <w:rFonts w:cs="Arial"/>
                <w:b/>
                <w:color w:val="000000"/>
                <w:sz w:val="22"/>
                <w:szCs w:val="22"/>
                <w:lang w:eastAsia="en-GB"/>
              </w:rPr>
              <w:t>Commissioned Service</w:t>
            </w:r>
            <w:r w:rsidR="003C7B02">
              <w:rPr>
                <w:rFonts w:cs="Arial"/>
                <w:b/>
                <w:color w:val="000000"/>
                <w:sz w:val="22"/>
                <w:szCs w:val="22"/>
                <w:lang w:eastAsia="en-GB"/>
              </w:rPr>
              <w:t>s</w:t>
            </w:r>
          </w:p>
        </w:tc>
        <w:tc>
          <w:tcPr>
            <w:tcW w:w="953" w:type="dxa"/>
            <w:tcBorders>
              <w:top w:val="nil"/>
              <w:left w:val="nil"/>
              <w:bottom w:val="single" w:sz="8" w:space="0" w:color="auto"/>
              <w:right w:val="single" w:sz="8" w:space="0" w:color="auto"/>
            </w:tcBorders>
            <w:shd w:val="clear" w:color="auto" w:fill="auto"/>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 </w:t>
            </w:r>
          </w:p>
        </w:tc>
        <w:tc>
          <w:tcPr>
            <w:tcW w:w="967" w:type="dxa"/>
            <w:tcBorders>
              <w:top w:val="nil"/>
              <w:left w:val="nil"/>
              <w:bottom w:val="single" w:sz="8" w:space="0" w:color="auto"/>
              <w:right w:val="single" w:sz="8" w:space="0" w:color="auto"/>
            </w:tcBorders>
            <w:shd w:val="clear" w:color="auto" w:fill="auto"/>
            <w:noWrap/>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 </w:t>
            </w:r>
          </w:p>
        </w:tc>
        <w:tc>
          <w:tcPr>
            <w:tcW w:w="960" w:type="dxa"/>
            <w:tcBorders>
              <w:top w:val="nil"/>
              <w:left w:val="nil"/>
              <w:bottom w:val="single" w:sz="8" w:space="0" w:color="auto"/>
              <w:right w:val="single" w:sz="8" w:space="0" w:color="auto"/>
            </w:tcBorders>
            <w:shd w:val="clear" w:color="auto" w:fill="auto"/>
            <w:noWrap/>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 </w:t>
            </w:r>
          </w:p>
        </w:tc>
        <w:tc>
          <w:tcPr>
            <w:tcW w:w="960" w:type="dxa"/>
            <w:tcBorders>
              <w:top w:val="nil"/>
              <w:left w:val="nil"/>
              <w:bottom w:val="single" w:sz="8" w:space="0" w:color="auto"/>
              <w:right w:val="single" w:sz="8" w:space="0" w:color="auto"/>
            </w:tcBorders>
            <w:vAlign w:val="center"/>
          </w:tcPr>
          <w:p w:rsidR="00AF234B" w:rsidRPr="00E96392" w:rsidRDefault="00AF234B" w:rsidP="003C7B02">
            <w:pPr>
              <w:jc w:val="right"/>
              <w:rPr>
                <w:rFonts w:cs="Arial"/>
                <w:color w:val="000000"/>
                <w:sz w:val="22"/>
                <w:szCs w:val="22"/>
                <w:lang w:eastAsia="en-GB"/>
              </w:rPr>
            </w:pPr>
          </w:p>
        </w:tc>
      </w:tr>
      <w:tr w:rsidR="00AF234B" w:rsidRPr="00EA69AE" w:rsidTr="003C7B02">
        <w:trPr>
          <w:trHeight w:val="315"/>
        </w:trPr>
        <w:tc>
          <w:tcPr>
            <w:tcW w:w="4500" w:type="dxa"/>
            <w:tcBorders>
              <w:top w:val="nil"/>
              <w:left w:val="single" w:sz="8" w:space="0" w:color="auto"/>
              <w:bottom w:val="single" w:sz="8" w:space="0" w:color="auto"/>
              <w:right w:val="single" w:sz="8" w:space="0" w:color="auto"/>
            </w:tcBorders>
            <w:shd w:val="clear" w:color="auto" w:fill="auto"/>
            <w:noWrap/>
            <w:vAlign w:val="center"/>
            <w:hideMark/>
          </w:tcPr>
          <w:p w:rsidR="00AF234B" w:rsidRPr="00E96392" w:rsidRDefault="00AF234B" w:rsidP="001D4F05">
            <w:pPr>
              <w:rPr>
                <w:rFonts w:cs="Arial"/>
                <w:color w:val="000000"/>
                <w:sz w:val="22"/>
                <w:szCs w:val="22"/>
                <w:lang w:eastAsia="en-GB"/>
              </w:rPr>
            </w:pPr>
            <w:r w:rsidRPr="00E96392">
              <w:rPr>
                <w:rFonts w:cs="Arial"/>
                <w:color w:val="000000"/>
                <w:sz w:val="22"/>
                <w:szCs w:val="22"/>
                <w:lang w:eastAsia="en-GB"/>
              </w:rPr>
              <w:t>Sexual Health</w:t>
            </w:r>
          </w:p>
        </w:tc>
        <w:tc>
          <w:tcPr>
            <w:tcW w:w="953" w:type="dxa"/>
            <w:tcBorders>
              <w:top w:val="nil"/>
              <w:left w:val="nil"/>
              <w:bottom w:val="single" w:sz="8" w:space="0" w:color="auto"/>
              <w:right w:val="single" w:sz="8" w:space="0" w:color="auto"/>
            </w:tcBorders>
            <w:shd w:val="clear" w:color="auto" w:fill="auto"/>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3,089</w:t>
            </w:r>
          </w:p>
        </w:tc>
        <w:tc>
          <w:tcPr>
            <w:tcW w:w="967" w:type="dxa"/>
            <w:tcBorders>
              <w:top w:val="nil"/>
              <w:left w:val="nil"/>
              <w:bottom w:val="single" w:sz="8" w:space="0" w:color="auto"/>
              <w:right w:val="single" w:sz="8" w:space="0" w:color="auto"/>
            </w:tcBorders>
            <w:shd w:val="clear" w:color="auto" w:fill="auto"/>
            <w:noWrap/>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3,170</w:t>
            </w:r>
          </w:p>
        </w:tc>
        <w:tc>
          <w:tcPr>
            <w:tcW w:w="960" w:type="dxa"/>
            <w:tcBorders>
              <w:top w:val="nil"/>
              <w:left w:val="nil"/>
              <w:bottom w:val="single" w:sz="8" w:space="0" w:color="auto"/>
              <w:right w:val="single" w:sz="8" w:space="0" w:color="auto"/>
            </w:tcBorders>
            <w:shd w:val="clear" w:color="auto" w:fill="auto"/>
            <w:noWrap/>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2,393</w:t>
            </w:r>
          </w:p>
        </w:tc>
        <w:tc>
          <w:tcPr>
            <w:tcW w:w="960" w:type="dxa"/>
            <w:tcBorders>
              <w:top w:val="nil"/>
              <w:left w:val="nil"/>
              <w:bottom w:val="single" w:sz="8" w:space="0" w:color="auto"/>
              <w:right w:val="single" w:sz="8" w:space="0" w:color="auto"/>
            </w:tcBorders>
            <w:vAlign w:val="center"/>
          </w:tcPr>
          <w:p w:rsidR="00AF234B" w:rsidRPr="00E96392" w:rsidRDefault="00E74A31" w:rsidP="003C7B02">
            <w:pPr>
              <w:jc w:val="right"/>
              <w:rPr>
                <w:rFonts w:cs="Arial"/>
                <w:color w:val="000000"/>
                <w:sz w:val="22"/>
                <w:szCs w:val="22"/>
                <w:lang w:eastAsia="en-GB"/>
              </w:rPr>
            </w:pPr>
            <w:r>
              <w:rPr>
                <w:rFonts w:cs="Arial"/>
                <w:color w:val="000000"/>
                <w:sz w:val="22"/>
                <w:szCs w:val="22"/>
                <w:lang w:eastAsia="en-GB"/>
              </w:rPr>
              <w:t>2,314</w:t>
            </w:r>
          </w:p>
        </w:tc>
      </w:tr>
      <w:tr w:rsidR="00AF234B" w:rsidRPr="00EA69AE" w:rsidTr="003C7B02">
        <w:trPr>
          <w:trHeight w:val="315"/>
        </w:trPr>
        <w:tc>
          <w:tcPr>
            <w:tcW w:w="4500" w:type="dxa"/>
            <w:tcBorders>
              <w:top w:val="nil"/>
              <w:left w:val="single" w:sz="8" w:space="0" w:color="auto"/>
              <w:bottom w:val="single" w:sz="8" w:space="0" w:color="auto"/>
              <w:right w:val="single" w:sz="8" w:space="0" w:color="auto"/>
            </w:tcBorders>
            <w:shd w:val="clear" w:color="auto" w:fill="auto"/>
            <w:noWrap/>
            <w:vAlign w:val="center"/>
            <w:hideMark/>
          </w:tcPr>
          <w:p w:rsidR="00AF234B" w:rsidRPr="00E96392" w:rsidRDefault="00AF234B" w:rsidP="001D4F05">
            <w:pPr>
              <w:rPr>
                <w:rFonts w:cs="Arial"/>
                <w:color w:val="000000"/>
                <w:sz w:val="22"/>
                <w:szCs w:val="22"/>
                <w:lang w:eastAsia="en-GB"/>
              </w:rPr>
            </w:pPr>
            <w:r w:rsidRPr="00E96392">
              <w:rPr>
                <w:rFonts w:cs="Arial"/>
                <w:color w:val="000000"/>
                <w:sz w:val="22"/>
                <w:szCs w:val="22"/>
                <w:lang w:eastAsia="en-GB"/>
              </w:rPr>
              <w:t>NHS Health Check programme</w:t>
            </w:r>
          </w:p>
        </w:tc>
        <w:tc>
          <w:tcPr>
            <w:tcW w:w="953" w:type="dxa"/>
            <w:tcBorders>
              <w:top w:val="nil"/>
              <w:left w:val="nil"/>
              <w:bottom w:val="single" w:sz="8" w:space="0" w:color="auto"/>
              <w:right w:val="single" w:sz="8" w:space="0" w:color="auto"/>
            </w:tcBorders>
            <w:shd w:val="clear" w:color="auto" w:fill="auto"/>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569</w:t>
            </w:r>
          </w:p>
        </w:tc>
        <w:tc>
          <w:tcPr>
            <w:tcW w:w="967" w:type="dxa"/>
            <w:tcBorders>
              <w:top w:val="nil"/>
              <w:left w:val="nil"/>
              <w:bottom w:val="single" w:sz="8" w:space="0" w:color="auto"/>
              <w:right w:val="single" w:sz="8" w:space="0" w:color="auto"/>
            </w:tcBorders>
            <w:shd w:val="clear" w:color="auto" w:fill="auto"/>
            <w:noWrap/>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510</w:t>
            </w:r>
          </w:p>
        </w:tc>
        <w:tc>
          <w:tcPr>
            <w:tcW w:w="960" w:type="dxa"/>
            <w:tcBorders>
              <w:top w:val="nil"/>
              <w:left w:val="nil"/>
              <w:bottom w:val="single" w:sz="8" w:space="0" w:color="auto"/>
              <w:right w:val="single" w:sz="8" w:space="0" w:color="auto"/>
            </w:tcBorders>
            <w:shd w:val="clear" w:color="auto" w:fill="auto"/>
            <w:noWrap/>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329</w:t>
            </w:r>
          </w:p>
        </w:tc>
        <w:tc>
          <w:tcPr>
            <w:tcW w:w="960" w:type="dxa"/>
            <w:tcBorders>
              <w:top w:val="nil"/>
              <w:left w:val="nil"/>
              <w:bottom w:val="single" w:sz="8" w:space="0" w:color="auto"/>
              <w:right w:val="single" w:sz="8" w:space="0" w:color="auto"/>
            </w:tcBorders>
            <w:vAlign w:val="center"/>
          </w:tcPr>
          <w:p w:rsidR="00AF234B" w:rsidRPr="00E96392" w:rsidRDefault="00E74A31" w:rsidP="003C7B02">
            <w:pPr>
              <w:jc w:val="right"/>
              <w:rPr>
                <w:rFonts w:cs="Arial"/>
                <w:color w:val="000000"/>
                <w:sz w:val="22"/>
                <w:szCs w:val="22"/>
                <w:lang w:eastAsia="en-GB"/>
              </w:rPr>
            </w:pPr>
            <w:r>
              <w:rPr>
                <w:rFonts w:cs="Arial"/>
                <w:color w:val="000000"/>
                <w:sz w:val="22"/>
                <w:szCs w:val="22"/>
                <w:lang w:eastAsia="en-GB"/>
              </w:rPr>
              <w:t>4</w:t>
            </w:r>
            <w:r w:rsidR="00AF234B" w:rsidRPr="00E96392">
              <w:rPr>
                <w:rFonts w:cs="Arial"/>
                <w:color w:val="000000"/>
                <w:sz w:val="22"/>
                <w:szCs w:val="22"/>
                <w:lang w:eastAsia="en-GB"/>
              </w:rPr>
              <w:t>75</w:t>
            </w:r>
          </w:p>
        </w:tc>
      </w:tr>
      <w:tr w:rsidR="00AF234B" w:rsidRPr="00EA69AE" w:rsidTr="003C7B02">
        <w:trPr>
          <w:trHeight w:val="315"/>
        </w:trPr>
        <w:tc>
          <w:tcPr>
            <w:tcW w:w="4500" w:type="dxa"/>
            <w:tcBorders>
              <w:top w:val="nil"/>
              <w:left w:val="single" w:sz="8" w:space="0" w:color="auto"/>
              <w:bottom w:val="single" w:sz="8" w:space="0" w:color="auto"/>
              <w:right w:val="single" w:sz="8" w:space="0" w:color="auto"/>
            </w:tcBorders>
            <w:shd w:val="clear" w:color="auto" w:fill="auto"/>
            <w:noWrap/>
            <w:vAlign w:val="center"/>
            <w:hideMark/>
          </w:tcPr>
          <w:p w:rsidR="00AF234B" w:rsidRPr="00E96392" w:rsidRDefault="00AF234B" w:rsidP="001D4F05">
            <w:pPr>
              <w:rPr>
                <w:rFonts w:cs="Arial"/>
                <w:color w:val="000000"/>
                <w:sz w:val="22"/>
                <w:szCs w:val="22"/>
                <w:lang w:eastAsia="en-GB"/>
              </w:rPr>
            </w:pPr>
            <w:r w:rsidRPr="00E96392">
              <w:rPr>
                <w:rFonts w:cs="Arial"/>
                <w:color w:val="000000"/>
                <w:sz w:val="22"/>
                <w:szCs w:val="22"/>
                <w:lang w:eastAsia="en-GB"/>
              </w:rPr>
              <w:t>Health protection</w:t>
            </w:r>
          </w:p>
        </w:tc>
        <w:tc>
          <w:tcPr>
            <w:tcW w:w="953" w:type="dxa"/>
            <w:tcBorders>
              <w:top w:val="nil"/>
              <w:left w:val="nil"/>
              <w:bottom w:val="single" w:sz="8" w:space="0" w:color="auto"/>
              <w:right w:val="single" w:sz="8" w:space="0" w:color="auto"/>
            </w:tcBorders>
            <w:shd w:val="clear" w:color="auto" w:fill="auto"/>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129</w:t>
            </w:r>
          </w:p>
        </w:tc>
        <w:tc>
          <w:tcPr>
            <w:tcW w:w="967" w:type="dxa"/>
            <w:tcBorders>
              <w:top w:val="nil"/>
              <w:left w:val="nil"/>
              <w:bottom w:val="single" w:sz="8" w:space="0" w:color="auto"/>
              <w:right w:val="single" w:sz="8" w:space="0" w:color="auto"/>
            </w:tcBorders>
            <w:shd w:val="clear" w:color="auto" w:fill="auto"/>
            <w:noWrap/>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73</w:t>
            </w:r>
          </w:p>
        </w:tc>
        <w:tc>
          <w:tcPr>
            <w:tcW w:w="960" w:type="dxa"/>
            <w:tcBorders>
              <w:top w:val="nil"/>
              <w:left w:val="nil"/>
              <w:bottom w:val="single" w:sz="8" w:space="0" w:color="auto"/>
              <w:right w:val="single" w:sz="8" w:space="0" w:color="auto"/>
            </w:tcBorders>
            <w:shd w:val="clear" w:color="auto" w:fill="auto"/>
            <w:noWrap/>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182</w:t>
            </w:r>
          </w:p>
        </w:tc>
        <w:tc>
          <w:tcPr>
            <w:tcW w:w="960" w:type="dxa"/>
            <w:tcBorders>
              <w:top w:val="nil"/>
              <w:left w:val="nil"/>
              <w:bottom w:val="single" w:sz="8" w:space="0" w:color="auto"/>
              <w:right w:val="single" w:sz="8" w:space="0" w:color="auto"/>
            </w:tcBorders>
            <w:vAlign w:val="center"/>
          </w:tcPr>
          <w:p w:rsidR="00AF234B" w:rsidRPr="00E96392" w:rsidRDefault="00E74A31" w:rsidP="003C7B02">
            <w:pPr>
              <w:jc w:val="right"/>
              <w:rPr>
                <w:rFonts w:cs="Arial"/>
                <w:color w:val="000000"/>
                <w:sz w:val="22"/>
                <w:szCs w:val="22"/>
                <w:lang w:eastAsia="en-GB"/>
              </w:rPr>
            </w:pPr>
            <w:r>
              <w:rPr>
                <w:rFonts w:cs="Arial"/>
                <w:color w:val="000000"/>
                <w:sz w:val="22"/>
                <w:szCs w:val="22"/>
                <w:lang w:eastAsia="en-GB"/>
              </w:rPr>
              <w:t>60</w:t>
            </w:r>
          </w:p>
        </w:tc>
      </w:tr>
      <w:tr w:rsidR="00AF234B" w:rsidRPr="00EA69AE" w:rsidTr="003C7B02">
        <w:trPr>
          <w:trHeight w:val="315"/>
        </w:trPr>
        <w:tc>
          <w:tcPr>
            <w:tcW w:w="4500" w:type="dxa"/>
            <w:tcBorders>
              <w:top w:val="nil"/>
              <w:left w:val="single" w:sz="8" w:space="0" w:color="auto"/>
              <w:bottom w:val="single" w:sz="8" w:space="0" w:color="auto"/>
              <w:right w:val="single" w:sz="8" w:space="0" w:color="auto"/>
            </w:tcBorders>
            <w:shd w:val="clear" w:color="auto" w:fill="auto"/>
            <w:noWrap/>
            <w:vAlign w:val="center"/>
            <w:hideMark/>
          </w:tcPr>
          <w:p w:rsidR="00AF234B" w:rsidRPr="00E96392" w:rsidRDefault="00AF234B" w:rsidP="001D4F05">
            <w:pPr>
              <w:rPr>
                <w:rFonts w:cs="Arial"/>
                <w:color w:val="000000"/>
                <w:sz w:val="22"/>
                <w:szCs w:val="22"/>
                <w:lang w:eastAsia="en-GB"/>
              </w:rPr>
            </w:pPr>
            <w:r w:rsidRPr="00E96392">
              <w:rPr>
                <w:rFonts w:cs="Arial"/>
                <w:color w:val="000000"/>
                <w:sz w:val="22"/>
                <w:szCs w:val="22"/>
                <w:lang w:eastAsia="en-GB"/>
              </w:rPr>
              <w:t>National Child Measurement Programme</w:t>
            </w:r>
          </w:p>
        </w:tc>
        <w:tc>
          <w:tcPr>
            <w:tcW w:w="953" w:type="dxa"/>
            <w:tcBorders>
              <w:top w:val="nil"/>
              <w:left w:val="nil"/>
              <w:bottom w:val="single" w:sz="8" w:space="0" w:color="auto"/>
              <w:right w:val="single" w:sz="8" w:space="0" w:color="auto"/>
            </w:tcBorders>
            <w:shd w:val="clear" w:color="auto" w:fill="auto"/>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68</w:t>
            </w:r>
          </w:p>
        </w:tc>
        <w:tc>
          <w:tcPr>
            <w:tcW w:w="967" w:type="dxa"/>
            <w:tcBorders>
              <w:top w:val="nil"/>
              <w:left w:val="nil"/>
              <w:bottom w:val="single" w:sz="8" w:space="0" w:color="auto"/>
              <w:right w:val="single" w:sz="8" w:space="0" w:color="auto"/>
            </w:tcBorders>
            <w:shd w:val="clear" w:color="auto" w:fill="auto"/>
            <w:noWrap/>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0</w:t>
            </w:r>
          </w:p>
        </w:tc>
        <w:tc>
          <w:tcPr>
            <w:tcW w:w="960" w:type="dxa"/>
            <w:tcBorders>
              <w:top w:val="nil"/>
              <w:left w:val="nil"/>
              <w:bottom w:val="single" w:sz="8" w:space="0" w:color="auto"/>
              <w:right w:val="single" w:sz="8" w:space="0" w:color="auto"/>
            </w:tcBorders>
            <w:shd w:val="clear" w:color="auto" w:fill="auto"/>
            <w:noWrap/>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76</w:t>
            </w:r>
          </w:p>
        </w:tc>
        <w:tc>
          <w:tcPr>
            <w:tcW w:w="960" w:type="dxa"/>
            <w:tcBorders>
              <w:top w:val="nil"/>
              <w:left w:val="nil"/>
              <w:bottom w:val="single" w:sz="8" w:space="0" w:color="auto"/>
              <w:right w:val="single" w:sz="8" w:space="0" w:color="auto"/>
            </w:tcBorders>
            <w:vAlign w:val="center"/>
          </w:tcPr>
          <w:p w:rsidR="00AF234B" w:rsidRPr="00E96392" w:rsidRDefault="00E74A31" w:rsidP="003C7B02">
            <w:pPr>
              <w:jc w:val="right"/>
              <w:rPr>
                <w:rFonts w:cs="Arial"/>
                <w:color w:val="000000"/>
                <w:sz w:val="22"/>
                <w:szCs w:val="22"/>
                <w:lang w:eastAsia="en-GB"/>
              </w:rPr>
            </w:pPr>
            <w:r>
              <w:rPr>
                <w:rFonts w:cs="Arial"/>
                <w:color w:val="000000"/>
                <w:sz w:val="22"/>
                <w:szCs w:val="22"/>
                <w:lang w:eastAsia="en-GB"/>
              </w:rPr>
              <w:t>68</w:t>
            </w:r>
          </w:p>
        </w:tc>
      </w:tr>
      <w:tr w:rsidR="00AF234B" w:rsidRPr="00EA69AE" w:rsidTr="003C7B02">
        <w:trPr>
          <w:trHeight w:val="315"/>
        </w:trPr>
        <w:tc>
          <w:tcPr>
            <w:tcW w:w="4500" w:type="dxa"/>
            <w:tcBorders>
              <w:top w:val="nil"/>
              <w:left w:val="single" w:sz="8" w:space="0" w:color="auto"/>
              <w:bottom w:val="single" w:sz="8" w:space="0" w:color="auto"/>
              <w:right w:val="single" w:sz="8" w:space="0" w:color="auto"/>
            </w:tcBorders>
            <w:shd w:val="clear" w:color="auto" w:fill="auto"/>
            <w:noWrap/>
            <w:vAlign w:val="center"/>
            <w:hideMark/>
          </w:tcPr>
          <w:p w:rsidR="00AF234B" w:rsidRPr="00E96392" w:rsidRDefault="00AF234B" w:rsidP="001D4F05">
            <w:pPr>
              <w:rPr>
                <w:rFonts w:cs="Arial"/>
                <w:color w:val="000000"/>
                <w:sz w:val="22"/>
                <w:szCs w:val="22"/>
                <w:lang w:eastAsia="en-GB"/>
              </w:rPr>
            </w:pPr>
            <w:r w:rsidRPr="00E96392">
              <w:rPr>
                <w:rFonts w:cs="Arial"/>
                <w:color w:val="000000"/>
                <w:sz w:val="22"/>
                <w:szCs w:val="22"/>
                <w:lang w:eastAsia="en-GB"/>
              </w:rPr>
              <w:t>Obesity</w:t>
            </w:r>
          </w:p>
        </w:tc>
        <w:tc>
          <w:tcPr>
            <w:tcW w:w="953" w:type="dxa"/>
            <w:tcBorders>
              <w:top w:val="nil"/>
              <w:left w:val="nil"/>
              <w:bottom w:val="single" w:sz="8" w:space="0" w:color="auto"/>
              <w:right w:val="single" w:sz="8" w:space="0" w:color="auto"/>
            </w:tcBorders>
            <w:shd w:val="clear" w:color="auto" w:fill="auto"/>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667</w:t>
            </w:r>
          </w:p>
        </w:tc>
        <w:tc>
          <w:tcPr>
            <w:tcW w:w="967" w:type="dxa"/>
            <w:tcBorders>
              <w:top w:val="nil"/>
              <w:left w:val="nil"/>
              <w:bottom w:val="single" w:sz="8" w:space="0" w:color="auto"/>
              <w:right w:val="single" w:sz="8" w:space="0" w:color="auto"/>
            </w:tcBorders>
            <w:shd w:val="clear" w:color="auto" w:fill="auto"/>
            <w:noWrap/>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840</w:t>
            </w:r>
          </w:p>
        </w:tc>
        <w:tc>
          <w:tcPr>
            <w:tcW w:w="960" w:type="dxa"/>
            <w:tcBorders>
              <w:top w:val="nil"/>
              <w:left w:val="nil"/>
              <w:bottom w:val="single" w:sz="8" w:space="0" w:color="auto"/>
              <w:right w:val="single" w:sz="8" w:space="0" w:color="auto"/>
            </w:tcBorders>
            <w:shd w:val="clear" w:color="auto" w:fill="auto"/>
            <w:noWrap/>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711</w:t>
            </w:r>
          </w:p>
        </w:tc>
        <w:tc>
          <w:tcPr>
            <w:tcW w:w="960" w:type="dxa"/>
            <w:tcBorders>
              <w:top w:val="nil"/>
              <w:left w:val="nil"/>
              <w:bottom w:val="single" w:sz="8" w:space="0" w:color="auto"/>
              <w:right w:val="single" w:sz="8" w:space="0" w:color="auto"/>
            </w:tcBorders>
            <w:vAlign w:val="center"/>
          </w:tcPr>
          <w:p w:rsidR="00AF234B" w:rsidRPr="00E96392" w:rsidRDefault="00E74A31" w:rsidP="003C7B02">
            <w:pPr>
              <w:jc w:val="right"/>
              <w:rPr>
                <w:rFonts w:cs="Arial"/>
                <w:color w:val="000000"/>
                <w:sz w:val="22"/>
                <w:szCs w:val="22"/>
                <w:lang w:eastAsia="en-GB"/>
              </w:rPr>
            </w:pPr>
            <w:r>
              <w:rPr>
                <w:rFonts w:cs="Arial"/>
                <w:color w:val="000000"/>
                <w:sz w:val="22"/>
                <w:szCs w:val="22"/>
                <w:lang w:eastAsia="en-GB"/>
              </w:rPr>
              <w:t>257</w:t>
            </w:r>
          </w:p>
        </w:tc>
      </w:tr>
      <w:tr w:rsidR="00AF234B" w:rsidRPr="00EA69AE" w:rsidTr="003C7B02">
        <w:trPr>
          <w:trHeight w:val="315"/>
        </w:trPr>
        <w:tc>
          <w:tcPr>
            <w:tcW w:w="4500" w:type="dxa"/>
            <w:tcBorders>
              <w:top w:val="nil"/>
              <w:left w:val="single" w:sz="8" w:space="0" w:color="auto"/>
              <w:bottom w:val="single" w:sz="8" w:space="0" w:color="auto"/>
              <w:right w:val="single" w:sz="8" w:space="0" w:color="auto"/>
            </w:tcBorders>
            <w:shd w:val="clear" w:color="auto" w:fill="auto"/>
            <w:noWrap/>
            <w:vAlign w:val="center"/>
            <w:hideMark/>
          </w:tcPr>
          <w:p w:rsidR="00AF234B" w:rsidRPr="00E96392" w:rsidRDefault="00AF234B" w:rsidP="001D4F05">
            <w:pPr>
              <w:rPr>
                <w:rFonts w:cs="Arial"/>
                <w:color w:val="000000"/>
                <w:sz w:val="22"/>
                <w:szCs w:val="22"/>
                <w:lang w:eastAsia="en-GB"/>
              </w:rPr>
            </w:pPr>
            <w:r w:rsidRPr="00E96392">
              <w:rPr>
                <w:rFonts w:cs="Arial"/>
                <w:color w:val="000000"/>
                <w:sz w:val="22"/>
                <w:szCs w:val="22"/>
                <w:lang w:eastAsia="en-GB"/>
              </w:rPr>
              <w:t>Physical Activity</w:t>
            </w:r>
          </w:p>
        </w:tc>
        <w:tc>
          <w:tcPr>
            <w:tcW w:w="953" w:type="dxa"/>
            <w:tcBorders>
              <w:top w:val="nil"/>
              <w:left w:val="nil"/>
              <w:bottom w:val="single" w:sz="8" w:space="0" w:color="auto"/>
              <w:right w:val="single" w:sz="8" w:space="0" w:color="auto"/>
            </w:tcBorders>
            <w:shd w:val="clear" w:color="auto" w:fill="auto"/>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62</w:t>
            </w:r>
          </w:p>
        </w:tc>
        <w:tc>
          <w:tcPr>
            <w:tcW w:w="967" w:type="dxa"/>
            <w:tcBorders>
              <w:top w:val="nil"/>
              <w:left w:val="nil"/>
              <w:bottom w:val="single" w:sz="8" w:space="0" w:color="auto"/>
              <w:right w:val="single" w:sz="8" w:space="0" w:color="auto"/>
            </w:tcBorders>
            <w:shd w:val="clear" w:color="auto" w:fill="auto"/>
            <w:noWrap/>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62</w:t>
            </w:r>
          </w:p>
        </w:tc>
        <w:tc>
          <w:tcPr>
            <w:tcW w:w="960" w:type="dxa"/>
            <w:tcBorders>
              <w:top w:val="nil"/>
              <w:left w:val="nil"/>
              <w:bottom w:val="single" w:sz="8" w:space="0" w:color="auto"/>
              <w:right w:val="single" w:sz="8" w:space="0" w:color="auto"/>
            </w:tcBorders>
            <w:shd w:val="clear" w:color="auto" w:fill="auto"/>
            <w:noWrap/>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265</w:t>
            </w:r>
          </w:p>
        </w:tc>
        <w:tc>
          <w:tcPr>
            <w:tcW w:w="960" w:type="dxa"/>
            <w:tcBorders>
              <w:top w:val="nil"/>
              <w:left w:val="nil"/>
              <w:bottom w:val="single" w:sz="8" w:space="0" w:color="auto"/>
              <w:right w:val="single" w:sz="8" w:space="0" w:color="auto"/>
            </w:tcBorders>
            <w:vAlign w:val="center"/>
          </w:tcPr>
          <w:p w:rsidR="00AF234B" w:rsidRPr="00E96392" w:rsidRDefault="00E74A31" w:rsidP="003C7B02">
            <w:pPr>
              <w:jc w:val="right"/>
              <w:rPr>
                <w:rFonts w:cs="Arial"/>
                <w:color w:val="000000"/>
                <w:sz w:val="22"/>
                <w:szCs w:val="22"/>
                <w:lang w:eastAsia="en-GB"/>
              </w:rPr>
            </w:pPr>
            <w:r>
              <w:rPr>
                <w:rFonts w:cs="Arial"/>
                <w:color w:val="000000"/>
                <w:sz w:val="22"/>
                <w:szCs w:val="22"/>
                <w:lang w:eastAsia="en-GB"/>
              </w:rPr>
              <w:t>61</w:t>
            </w:r>
          </w:p>
        </w:tc>
      </w:tr>
      <w:tr w:rsidR="00AF234B" w:rsidRPr="00EA69AE" w:rsidTr="003C7B02">
        <w:trPr>
          <w:trHeight w:val="315"/>
        </w:trPr>
        <w:tc>
          <w:tcPr>
            <w:tcW w:w="4500" w:type="dxa"/>
            <w:tcBorders>
              <w:top w:val="nil"/>
              <w:left w:val="single" w:sz="8" w:space="0" w:color="auto"/>
              <w:bottom w:val="single" w:sz="8" w:space="0" w:color="auto"/>
              <w:right w:val="single" w:sz="8" w:space="0" w:color="auto"/>
            </w:tcBorders>
            <w:shd w:val="clear" w:color="auto" w:fill="auto"/>
            <w:noWrap/>
            <w:vAlign w:val="center"/>
            <w:hideMark/>
          </w:tcPr>
          <w:p w:rsidR="00AF234B" w:rsidRPr="00E96392" w:rsidRDefault="00AF234B" w:rsidP="001D4F05">
            <w:pPr>
              <w:rPr>
                <w:rFonts w:cs="Arial"/>
                <w:color w:val="000000"/>
                <w:sz w:val="22"/>
                <w:szCs w:val="22"/>
                <w:lang w:eastAsia="en-GB"/>
              </w:rPr>
            </w:pPr>
            <w:r w:rsidRPr="00E96392">
              <w:rPr>
                <w:rFonts w:cs="Arial"/>
                <w:color w:val="000000"/>
                <w:sz w:val="22"/>
                <w:szCs w:val="22"/>
                <w:lang w:eastAsia="en-GB"/>
              </w:rPr>
              <w:t>Substance Misuse</w:t>
            </w:r>
          </w:p>
        </w:tc>
        <w:tc>
          <w:tcPr>
            <w:tcW w:w="953" w:type="dxa"/>
            <w:tcBorders>
              <w:top w:val="nil"/>
              <w:left w:val="nil"/>
              <w:bottom w:val="single" w:sz="8" w:space="0" w:color="auto"/>
              <w:right w:val="single" w:sz="8" w:space="0" w:color="auto"/>
            </w:tcBorders>
            <w:shd w:val="clear" w:color="auto" w:fill="auto"/>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7,733</w:t>
            </w:r>
          </w:p>
        </w:tc>
        <w:tc>
          <w:tcPr>
            <w:tcW w:w="967" w:type="dxa"/>
            <w:tcBorders>
              <w:top w:val="nil"/>
              <w:left w:val="nil"/>
              <w:bottom w:val="single" w:sz="8" w:space="0" w:color="auto"/>
              <w:right w:val="single" w:sz="8" w:space="0" w:color="auto"/>
            </w:tcBorders>
            <w:shd w:val="clear" w:color="auto" w:fill="auto"/>
            <w:noWrap/>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6,958</w:t>
            </w:r>
          </w:p>
        </w:tc>
        <w:tc>
          <w:tcPr>
            <w:tcW w:w="960" w:type="dxa"/>
            <w:tcBorders>
              <w:top w:val="nil"/>
              <w:left w:val="nil"/>
              <w:bottom w:val="single" w:sz="8" w:space="0" w:color="auto"/>
              <w:right w:val="single" w:sz="8" w:space="0" w:color="auto"/>
            </w:tcBorders>
            <w:shd w:val="clear" w:color="auto" w:fill="auto"/>
            <w:noWrap/>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7,300</w:t>
            </w:r>
          </w:p>
        </w:tc>
        <w:tc>
          <w:tcPr>
            <w:tcW w:w="960" w:type="dxa"/>
            <w:tcBorders>
              <w:top w:val="nil"/>
              <w:left w:val="nil"/>
              <w:bottom w:val="single" w:sz="8" w:space="0" w:color="auto"/>
              <w:right w:val="single" w:sz="8" w:space="0" w:color="auto"/>
            </w:tcBorders>
            <w:vAlign w:val="center"/>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6,1</w:t>
            </w:r>
            <w:r w:rsidR="00E74A31">
              <w:rPr>
                <w:rFonts w:cs="Arial"/>
                <w:color w:val="000000"/>
                <w:sz w:val="22"/>
                <w:szCs w:val="22"/>
                <w:lang w:eastAsia="en-GB"/>
              </w:rPr>
              <w:t>22</w:t>
            </w:r>
          </w:p>
        </w:tc>
      </w:tr>
      <w:tr w:rsidR="00AF234B" w:rsidRPr="00EA69AE" w:rsidTr="003C7B02">
        <w:trPr>
          <w:trHeight w:val="315"/>
        </w:trPr>
        <w:tc>
          <w:tcPr>
            <w:tcW w:w="4500" w:type="dxa"/>
            <w:tcBorders>
              <w:top w:val="nil"/>
              <w:left w:val="single" w:sz="8" w:space="0" w:color="auto"/>
              <w:bottom w:val="single" w:sz="8" w:space="0" w:color="auto"/>
              <w:right w:val="single" w:sz="8" w:space="0" w:color="auto"/>
            </w:tcBorders>
            <w:shd w:val="clear" w:color="auto" w:fill="auto"/>
            <w:noWrap/>
            <w:vAlign w:val="center"/>
            <w:hideMark/>
          </w:tcPr>
          <w:p w:rsidR="00AF234B" w:rsidRPr="00E96392" w:rsidRDefault="00AF234B" w:rsidP="001D4F05">
            <w:pPr>
              <w:rPr>
                <w:rFonts w:cs="Arial"/>
                <w:color w:val="000000"/>
                <w:sz w:val="22"/>
                <w:szCs w:val="22"/>
                <w:lang w:eastAsia="en-GB"/>
              </w:rPr>
            </w:pPr>
            <w:r w:rsidRPr="00E96392">
              <w:rPr>
                <w:rFonts w:cs="Arial"/>
                <w:color w:val="000000"/>
                <w:sz w:val="22"/>
                <w:szCs w:val="22"/>
                <w:lang w:eastAsia="en-GB"/>
              </w:rPr>
              <w:t>Smoking and Tobacco</w:t>
            </w:r>
          </w:p>
        </w:tc>
        <w:tc>
          <w:tcPr>
            <w:tcW w:w="953" w:type="dxa"/>
            <w:tcBorders>
              <w:top w:val="nil"/>
              <w:left w:val="nil"/>
              <w:bottom w:val="single" w:sz="8" w:space="0" w:color="auto"/>
              <w:right w:val="single" w:sz="8" w:space="0" w:color="auto"/>
            </w:tcBorders>
            <w:shd w:val="clear" w:color="auto" w:fill="auto"/>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1,407</w:t>
            </w:r>
          </w:p>
        </w:tc>
        <w:tc>
          <w:tcPr>
            <w:tcW w:w="967" w:type="dxa"/>
            <w:tcBorders>
              <w:top w:val="nil"/>
              <w:left w:val="nil"/>
              <w:bottom w:val="single" w:sz="8" w:space="0" w:color="auto"/>
              <w:right w:val="single" w:sz="8" w:space="0" w:color="auto"/>
            </w:tcBorders>
            <w:shd w:val="clear" w:color="auto" w:fill="auto"/>
            <w:noWrap/>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1,300</w:t>
            </w:r>
          </w:p>
        </w:tc>
        <w:tc>
          <w:tcPr>
            <w:tcW w:w="960" w:type="dxa"/>
            <w:tcBorders>
              <w:top w:val="nil"/>
              <w:left w:val="nil"/>
              <w:bottom w:val="single" w:sz="8" w:space="0" w:color="auto"/>
              <w:right w:val="single" w:sz="8" w:space="0" w:color="auto"/>
            </w:tcBorders>
            <w:shd w:val="clear" w:color="auto" w:fill="auto"/>
            <w:noWrap/>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1,369</w:t>
            </w:r>
          </w:p>
        </w:tc>
        <w:tc>
          <w:tcPr>
            <w:tcW w:w="960" w:type="dxa"/>
            <w:tcBorders>
              <w:top w:val="nil"/>
              <w:left w:val="nil"/>
              <w:bottom w:val="single" w:sz="8" w:space="0" w:color="auto"/>
              <w:right w:val="single" w:sz="8" w:space="0" w:color="auto"/>
            </w:tcBorders>
            <w:vAlign w:val="center"/>
          </w:tcPr>
          <w:p w:rsidR="00AF234B" w:rsidRPr="00E96392" w:rsidRDefault="00E74A31" w:rsidP="003C7B02">
            <w:pPr>
              <w:jc w:val="right"/>
              <w:rPr>
                <w:rFonts w:cs="Arial"/>
                <w:color w:val="000000"/>
                <w:sz w:val="22"/>
                <w:szCs w:val="22"/>
                <w:lang w:eastAsia="en-GB"/>
              </w:rPr>
            </w:pPr>
            <w:r>
              <w:rPr>
                <w:rFonts w:cs="Arial"/>
                <w:color w:val="000000"/>
                <w:sz w:val="22"/>
                <w:szCs w:val="22"/>
                <w:lang w:eastAsia="en-GB"/>
              </w:rPr>
              <w:t>949</w:t>
            </w:r>
          </w:p>
        </w:tc>
      </w:tr>
      <w:tr w:rsidR="00AF234B" w:rsidRPr="00EA69AE" w:rsidTr="003C7B02">
        <w:trPr>
          <w:trHeight w:val="315"/>
        </w:trPr>
        <w:tc>
          <w:tcPr>
            <w:tcW w:w="4500" w:type="dxa"/>
            <w:tcBorders>
              <w:top w:val="nil"/>
              <w:left w:val="single" w:sz="8" w:space="0" w:color="auto"/>
              <w:bottom w:val="single" w:sz="8" w:space="0" w:color="auto"/>
              <w:right w:val="single" w:sz="8" w:space="0" w:color="auto"/>
            </w:tcBorders>
            <w:shd w:val="clear" w:color="auto" w:fill="auto"/>
            <w:noWrap/>
            <w:vAlign w:val="center"/>
            <w:hideMark/>
          </w:tcPr>
          <w:p w:rsidR="00AF234B" w:rsidRPr="00E96392" w:rsidRDefault="00AF234B" w:rsidP="001D4F05">
            <w:pPr>
              <w:rPr>
                <w:rFonts w:cs="Arial"/>
                <w:color w:val="000000"/>
                <w:sz w:val="22"/>
                <w:szCs w:val="22"/>
                <w:lang w:eastAsia="en-GB"/>
              </w:rPr>
            </w:pPr>
            <w:r w:rsidRPr="00E96392">
              <w:rPr>
                <w:rFonts w:cs="Arial"/>
                <w:color w:val="000000"/>
                <w:sz w:val="22"/>
                <w:szCs w:val="22"/>
                <w:lang w:eastAsia="en-GB"/>
              </w:rPr>
              <w:t xml:space="preserve">Children 5-19 public health </w:t>
            </w:r>
            <w:proofErr w:type="spellStart"/>
            <w:r w:rsidRPr="00E96392">
              <w:rPr>
                <w:rFonts w:cs="Arial"/>
                <w:color w:val="000000"/>
                <w:sz w:val="22"/>
                <w:szCs w:val="22"/>
                <w:lang w:eastAsia="en-GB"/>
              </w:rPr>
              <w:t>programmes</w:t>
            </w:r>
            <w:proofErr w:type="spellEnd"/>
          </w:p>
        </w:tc>
        <w:tc>
          <w:tcPr>
            <w:tcW w:w="953" w:type="dxa"/>
            <w:tcBorders>
              <w:top w:val="nil"/>
              <w:left w:val="nil"/>
              <w:bottom w:val="single" w:sz="8" w:space="0" w:color="auto"/>
              <w:right w:val="single" w:sz="8" w:space="0" w:color="auto"/>
            </w:tcBorders>
            <w:shd w:val="clear" w:color="auto" w:fill="auto"/>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1,218</w:t>
            </w:r>
          </w:p>
        </w:tc>
        <w:tc>
          <w:tcPr>
            <w:tcW w:w="967" w:type="dxa"/>
            <w:tcBorders>
              <w:top w:val="nil"/>
              <w:left w:val="nil"/>
              <w:bottom w:val="single" w:sz="8" w:space="0" w:color="auto"/>
              <w:right w:val="single" w:sz="8" w:space="0" w:color="auto"/>
            </w:tcBorders>
            <w:shd w:val="clear" w:color="auto" w:fill="auto"/>
            <w:noWrap/>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1,891</w:t>
            </w:r>
          </w:p>
        </w:tc>
        <w:tc>
          <w:tcPr>
            <w:tcW w:w="960" w:type="dxa"/>
            <w:tcBorders>
              <w:top w:val="nil"/>
              <w:left w:val="nil"/>
              <w:bottom w:val="single" w:sz="8" w:space="0" w:color="auto"/>
              <w:right w:val="single" w:sz="8" w:space="0" w:color="auto"/>
            </w:tcBorders>
            <w:shd w:val="clear" w:color="auto" w:fill="auto"/>
            <w:noWrap/>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2,096</w:t>
            </w:r>
          </w:p>
        </w:tc>
        <w:tc>
          <w:tcPr>
            <w:tcW w:w="960" w:type="dxa"/>
            <w:tcBorders>
              <w:top w:val="nil"/>
              <w:left w:val="nil"/>
              <w:bottom w:val="single" w:sz="8" w:space="0" w:color="auto"/>
              <w:right w:val="single" w:sz="8" w:space="0" w:color="auto"/>
            </w:tcBorders>
            <w:vAlign w:val="center"/>
          </w:tcPr>
          <w:p w:rsidR="00AF234B" w:rsidRPr="00E96392" w:rsidRDefault="00E74A31" w:rsidP="003C7B02">
            <w:pPr>
              <w:jc w:val="right"/>
              <w:rPr>
                <w:rFonts w:cs="Arial"/>
                <w:color w:val="000000"/>
                <w:sz w:val="22"/>
                <w:szCs w:val="22"/>
                <w:lang w:eastAsia="en-GB"/>
              </w:rPr>
            </w:pPr>
            <w:r>
              <w:rPr>
                <w:rFonts w:cs="Arial"/>
                <w:color w:val="000000"/>
                <w:sz w:val="22"/>
                <w:szCs w:val="22"/>
                <w:lang w:eastAsia="en-GB"/>
              </w:rPr>
              <w:t>1,948</w:t>
            </w:r>
          </w:p>
        </w:tc>
      </w:tr>
      <w:tr w:rsidR="00AF234B" w:rsidRPr="00EA69AE" w:rsidTr="003C7B02">
        <w:trPr>
          <w:trHeight w:val="315"/>
        </w:trPr>
        <w:tc>
          <w:tcPr>
            <w:tcW w:w="4500" w:type="dxa"/>
            <w:tcBorders>
              <w:top w:val="nil"/>
              <w:left w:val="single" w:sz="8" w:space="0" w:color="auto"/>
              <w:bottom w:val="single" w:sz="8" w:space="0" w:color="auto"/>
              <w:right w:val="single" w:sz="8" w:space="0" w:color="auto"/>
            </w:tcBorders>
            <w:shd w:val="clear" w:color="auto" w:fill="auto"/>
            <w:noWrap/>
            <w:vAlign w:val="center"/>
          </w:tcPr>
          <w:p w:rsidR="00AF234B" w:rsidRPr="00E96392" w:rsidRDefault="00AF234B" w:rsidP="001D4F05">
            <w:pPr>
              <w:rPr>
                <w:rFonts w:cs="Arial"/>
                <w:color w:val="000000"/>
                <w:sz w:val="22"/>
                <w:szCs w:val="22"/>
                <w:lang w:eastAsia="en-GB"/>
              </w:rPr>
            </w:pPr>
            <w:r w:rsidRPr="00E96392">
              <w:rPr>
                <w:rFonts w:cs="Arial"/>
                <w:color w:val="000000"/>
                <w:sz w:val="22"/>
                <w:szCs w:val="22"/>
                <w:lang w:eastAsia="en-GB"/>
              </w:rPr>
              <w:t>Children 0-5 Health Visiting</w:t>
            </w:r>
          </w:p>
        </w:tc>
        <w:tc>
          <w:tcPr>
            <w:tcW w:w="953" w:type="dxa"/>
            <w:tcBorders>
              <w:top w:val="nil"/>
              <w:left w:val="nil"/>
              <w:bottom w:val="single" w:sz="8" w:space="0" w:color="auto"/>
              <w:right w:val="single" w:sz="8" w:space="0" w:color="auto"/>
            </w:tcBorders>
            <w:shd w:val="clear" w:color="auto" w:fill="auto"/>
            <w:vAlign w:val="center"/>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0</w:t>
            </w:r>
          </w:p>
        </w:tc>
        <w:tc>
          <w:tcPr>
            <w:tcW w:w="967" w:type="dxa"/>
            <w:tcBorders>
              <w:top w:val="nil"/>
              <w:left w:val="nil"/>
              <w:bottom w:val="single" w:sz="8" w:space="0" w:color="auto"/>
              <w:right w:val="single" w:sz="8" w:space="0" w:color="auto"/>
            </w:tcBorders>
            <w:shd w:val="clear" w:color="auto" w:fill="auto"/>
            <w:noWrap/>
            <w:vAlign w:val="center"/>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0</w:t>
            </w:r>
          </w:p>
        </w:tc>
        <w:tc>
          <w:tcPr>
            <w:tcW w:w="960" w:type="dxa"/>
            <w:tcBorders>
              <w:top w:val="nil"/>
              <w:left w:val="nil"/>
              <w:bottom w:val="single" w:sz="8" w:space="0" w:color="auto"/>
              <w:right w:val="single" w:sz="8" w:space="0" w:color="auto"/>
            </w:tcBorders>
            <w:shd w:val="clear" w:color="auto" w:fill="auto"/>
            <w:noWrap/>
            <w:vAlign w:val="center"/>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3,148</w:t>
            </w:r>
          </w:p>
        </w:tc>
        <w:tc>
          <w:tcPr>
            <w:tcW w:w="960" w:type="dxa"/>
            <w:tcBorders>
              <w:top w:val="nil"/>
              <w:left w:val="nil"/>
              <w:bottom w:val="single" w:sz="8" w:space="0" w:color="auto"/>
              <w:right w:val="single" w:sz="8" w:space="0" w:color="auto"/>
            </w:tcBorders>
            <w:vAlign w:val="center"/>
          </w:tcPr>
          <w:p w:rsidR="00AF234B" w:rsidRPr="00E96392" w:rsidRDefault="00E74A31" w:rsidP="003C7B02">
            <w:pPr>
              <w:jc w:val="right"/>
              <w:rPr>
                <w:rFonts w:cs="Arial"/>
                <w:color w:val="000000"/>
                <w:sz w:val="22"/>
                <w:szCs w:val="22"/>
                <w:lang w:eastAsia="en-GB"/>
              </w:rPr>
            </w:pPr>
            <w:r>
              <w:rPr>
                <w:rFonts w:cs="Arial"/>
                <w:color w:val="000000"/>
                <w:sz w:val="22"/>
                <w:szCs w:val="22"/>
                <w:lang w:eastAsia="en-GB"/>
              </w:rPr>
              <w:t>6,741</w:t>
            </w:r>
          </w:p>
        </w:tc>
      </w:tr>
      <w:tr w:rsidR="00AF234B" w:rsidRPr="00EA69AE" w:rsidTr="003C7B02">
        <w:trPr>
          <w:trHeight w:val="315"/>
        </w:trPr>
        <w:tc>
          <w:tcPr>
            <w:tcW w:w="4500" w:type="dxa"/>
            <w:tcBorders>
              <w:top w:val="nil"/>
              <w:left w:val="single" w:sz="8" w:space="0" w:color="auto"/>
              <w:bottom w:val="single" w:sz="8" w:space="0" w:color="auto"/>
              <w:right w:val="single" w:sz="8" w:space="0" w:color="auto"/>
            </w:tcBorders>
            <w:shd w:val="clear" w:color="auto" w:fill="auto"/>
            <w:noWrap/>
            <w:vAlign w:val="center"/>
            <w:hideMark/>
          </w:tcPr>
          <w:p w:rsidR="00AF234B" w:rsidRPr="00E96392" w:rsidRDefault="00AF234B" w:rsidP="001D4F05">
            <w:pPr>
              <w:rPr>
                <w:rFonts w:cs="Arial"/>
                <w:color w:val="000000"/>
                <w:sz w:val="22"/>
                <w:szCs w:val="22"/>
                <w:lang w:eastAsia="en-GB"/>
              </w:rPr>
            </w:pPr>
            <w:r w:rsidRPr="00E96392">
              <w:rPr>
                <w:rFonts w:cs="Arial"/>
                <w:color w:val="000000"/>
                <w:sz w:val="22"/>
                <w:szCs w:val="22"/>
                <w:lang w:eastAsia="en-GB"/>
              </w:rPr>
              <w:t>Other public health services</w:t>
            </w:r>
          </w:p>
        </w:tc>
        <w:tc>
          <w:tcPr>
            <w:tcW w:w="953" w:type="dxa"/>
            <w:tcBorders>
              <w:top w:val="nil"/>
              <w:left w:val="nil"/>
              <w:bottom w:val="single" w:sz="8" w:space="0" w:color="auto"/>
              <w:right w:val="single" w:sz="8" w:space="0" w:color="auto"/>
            </w:tcBorders>
            <w:shd w:val="clear" w:color="auto" w:fill="auto"/>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892</w:t>
            </w:r>
          </w:p>
        </w:tc>
        <w:tc>
          <w:tcPr>
            <w:tcW w:w="967" w:type="dxa"/>
            <w:tcBorders>
              <w:top w:val="nil"/>
              <w:left w:val="nil"/>
              <w:bottom w:val="single" w:sz="8" w:space="0" w:color="auto"/>
              <w:right w:val="single" w:sz="8" w:space="0" w:color="auto"/>
            </w:tcBorders>
            <w:shd w:val="clear" w:color="auto" w:fill="auto"/>
            <w:noWrap/>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264</w:t>
            </w:r>
          </w:p>
        </w:tc>
        <w:tc>
          <w:tcPr>
            <w:tcW w:w="960" w:type="dxa"/>
            <w:tcBorders>
              <w:top w:val="nil"/>
              <w:left w:val="nil"/>
              <w:bottom w:val="single" w:sz="8" w:space="0" w:color="auto"/>
              <w:right w:val="single" w:sz="8" w:space="0" w:color="auto"/>
            </w:tcBorders>
            <w:shd w:val="clear" w:color="auto" w:fill="auto"/>
            <w:noWrap/>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261</w:t>
            </w:r>
          </w:p>
        </w:tc>
        <w:tc>
          <w:tcPr>
            <w:tcW w:w="960" w:type="dxa"/>
            <w:tcBorders>
              <w:top w:val="nil"/>
              <w:left w:val="nil"/>
              <w:bottom w:val="single" w:sz="8" w:space="0" w:color="auto"/>
              <w:right w:val="single" w:sz="8" w:space="0" w:color="auto"/>
            </w:tcBorders>
            <w:vAlign w:val="center"/>
          </w:tcPr>
          <w:p w:rsidR="00AF234B" w:rsidRPr="00E96392" w:rsidRDefault="00E74A31" w:rsidP="003C7B02">
            <w:pPr>
              <w:jc w:val="right"/>
              <w:rPr>
                <w:rFonts w:cs="Arial"/>
                <w:color w:val="000000"/>
                <w:sz w:val="22"/>
                <w:szCs w:val="22"/>
                <w:lang w:eastAsia="en-GB"/>
              </w:rPr>
            </w:pPr>
            <w:r>
              <w:rPr>
                <w:rFonts w:cs="Arial"/>
                <w:color w:val="000000"/>
                <w:sz w:val="22"/>
                <w:szCs w:val="22"/>
                <w:lang w:eastAsia="en-GB"/>
              </w:rPr>
              <w:t>108</w:t>
            </w:r>
          </w:p>
        </w:tc>
      </w:tr>
      <w:tr w:rsidR="00AF234B" w:rsidRPr="003C7B02" w:rsidTr="003C7B02">
        <w:trPr>
          <w:trHeight w:val="315"/>
        </w:trPr>
        <w:tc>
          <w:tcPr>
            <w:tcW w:w="4500" w:type="dxa"/>
            <w:tcBorders>
              <w:top w:val="nil"/>
              <w:left w:val="single" w:sz="8" w:space="0" w:color="auto"/>
              <w:bottom w:val="single" w:sz="8" w:space="0" w:color="auto"/>
              <w:right w:val="single" w:sz="8" w:space="0" w:color="auto"/>
            </w:tcBorders>
            <w:shd w:val="clear" w:color="auto" w:fill="auto"/>
            <w:noWrap/>
            <w:vAlign w:val="center"/>
            <w:hideMark/>
          </w:tcPr>
          <w:p w:rsidR="00AF234B" w:rsidRPr="003C7B02" w:rsidRDefault="00AF234B" w:rsidP="001D4F05">
            <w:pPr>
              <w:rPr>
                <w:rFonts w:cs="Arial"/>
                <w:b/>
                <w:color w:val="000000"/>
                <w:sz w:val="22"/>
                <w:szCs w:val="22"/>
                <w:lang w:eastAsia="en-GB"/>
              </w:rPr>
            </w:pPr>
            <w:r w:rsidRPr="003C7B02">
              <w:rPr>
                <w:rFonts w:cs="Arial"/>
                <w:b/>
                <w:color w:val="000000"/>
                <w:sz w:val="22"/>
                <w:szCs w:val="22"/>
                <w:lang w:eastAsia="en-GB"/>
              </w:rPr>
              <w:t>Sub-total Commissioned Services</w:t>
            </w:r>
          </w:p>
        </w:tc>
        <w:tc>
          <w:tcPr>
            <w:tcW w:w="953" w:type="dxa"/>
            <w:tcBorders>
              <w:top w:val="nil"/>
              <w:left w:val="nil"/>
              <w:bottom w:val="single" w:sz="8" w:space="0" w:color="auto"/>
              <w:right w:val="single" w:sz="8" w:space="0" w:color="auto"/>
            </w:tcBorders>
            <w:shd w:val="clear" w:color="auto" w:fill="auto"/>
            <w:vAlign w:val="center"/>
            <w:hideMark/>
          </w:tcPr>
          <w:p w:rsidR="00AF234B" w:rsidRPr="003C7B02" w:rsidRDefault="00AF234B" w:rsidP="003C7B02">
            <w:pPr>
              <w:jc w:val="right"/>
              <w:rPr>
                <w:rFonts w:cs="Arial"/>
                <w:b/>
                <w:color w:val="000000"/>
                <w:sz w:val="22"/>
                <w:szCs w:val="22"/>
                <w:lang w:eastAsia="en-GB"/>
              </w:rPr>
            </w:pPr>
            <w:r w:rsidRPr="003C7B02">
              <w:rPr>
                <w:rFonts w:cs="Arial"/>
                <w:b/>
                <w:color w:val="000000"/>
                <w:sz w:val="22"/>
                <w:szCs w:val="22"/>
                <w:lang w:eastAsia="en-GB"/>
              </w:rPr>
              <w:t>15,836</w:t>
            </w:r>
          </w:p>
        </w:tc>
        <w:tc>
          <w:tcPr>
            <w:tcW w:w="967" w:type="dxa"/>
            <w:tcBorders>
              <w:top w:val="nil"/>
              <w:left w:val="nil"/>
              <w:bottom w:val="single" w:sz="8" w:space="0" w:color="auto"/>
              <w:right w:val="single" w:sz="8" w:space="0" w:color="auto"/>
            </w:tcBorders>
            <w:shd w:val="clear" w:color="auto" w:fill="auto"/>
            <w:noWrap/>
            <w:vAlign w:val="center"/>
            <w:hideMark/>
          </w:tcPr>
          <w:p w:rsidR="00AF234B" w:rsidRPr="003C7B02" w:rsidRDefault="00AF234B" w:rsidP="003C7B02">
            <w:pPr>
              <w:jc w:val="right"/>
              <w:rPr>
                <w:rFonts w:cs="Arial"/>
                <w:b/>
                <w:color w:val="000000"/>
                <w:sz w:val="22"/>
                <w:szCs w:val="22"/>
                <w:lang w:eastAsia="en-GB"/>
              </w:rPr>
            </w:pPr>
            <w:r w:rsidRPr="003C7B02">
              <w:rPr>
                <w:rFonts w:cs="Arial"/>
                <w:b/>
                <w:color w:val="000000"/>
                <w:sz w:val="22"/>
                <w:szCs w:val="22"/>
                <w:lang w:eastAsia="en-GB"/>
              </w:rPr>
              <w:t>15,068</w:t>
            </w:r>
          </w:p>
        </w:tc>
        <w:tc>
          <w:tcPr>
            <w:tcW w:w="960" w:type="dxa"/>
            <w:tcBorders>
              <w:top w:val="nil"/>
              <w:left w:val="nil"/>
              <w:bottom w:val="single" w:sz="8" w:space="0" w:color="auto"/>
              <w:right w:val="single" w:sz="8" w:space="0" w:color="auto"/>
            </w:tcBorders>
            <w:shd w:val="clear" w:color="auto" w:fill="auto"/>
            <w:noWrap/>
            <w:vAlign w:val="center"/>
            <w:hideMark/>
          </w:tcPr>
          <w:p w:rsidR="00AF234B" w:rsidRPr="003C7B02" w:rsidRDefault="00AF234B" w:rsidP="003C7B02">
            <w:pPr>
              <w:jc w:val="right"/>
              <w:rPr>
                <w:rFonts w:cs="Arial"/>
                <w:b/>
                <w:color w:val="000000"/>
                <w:sz w:val="22"/>
                <w:szCs w:val="22"/>
                <w:lang w:eastAsia="en-GB"/>
              </w:rPr>
            </w:pPr>
            <w:r w:rsidRPr="003C7B02">
              <w:rPr>
                <w:rFonts w:cs="Arial"/>
                <w:b/>
                <w:color w:val="000000"/>
                <w:sz w:val="22"/>
                <w:szCs w:val="22"/>
                <w:lang w:eastAsia="en-GB"/>
              </w:rPr>
              <w:t>18,130</w:t>
            </w:r>
          </w:p>
        </w:tc>
        <w:tc>
          <w:tcPr>
            <w:tcW w:w="960" w:type="dxa"/>
            <w:tcBorders>
              <w:top w:val="nil"/>
              <w:left w:val="nil"/>
              <w:bottom w:val="single" w:sz="8" w:space="0" w:color="auto"/>
              <w:right w:val="single" w:sz="8" w:space="0" w:color="auto"/>
            </w:tcBorders>
            <w:vAlign w:val="center"/>
          </w:tcPr>
          <w:p w:rsidR="00AF234B" w:rsidRPr="003C7B02" w:rsidRDefault="00AF234B" w:rsidP="003C7B02">
            <w:pPr>
              <w:jc w:val="right"/>
              <w:rPr>
                <w:rFonts w:cs="Arial"/>
                <w:b/>
                <w:color w:val="000000"/>
                <w:sz w:val="22"/>
                <w:szCs w:val="22"/>
                <w:lang w:eastAsia="en-GB"/>
              </w:rPr>
            </w:pPr>
            <w:r w:rsidRPr="003C7B02">
              <w:rPr>
                <w:rFonts w:cs="Arial"/>
                <w:b/>
                <w:color w:val="000000"/>
                <w:sz w:val="22"/>
                <w:szCs w:val="22"/>
                <w:lang w:eastAsia="en-GB"/>
              </w:rPr>
              <w:t>19,</w:t>
            </w:r>
            <w:r w:rsidR="00E74A31" w:rsidRPr="003C7B02">
              <w:rPr>
                <w:rFonts w:cs="Arial"/>
                <w:b/>
                <w:color w:val="000000"/>
                <w:sz w:val="22"/>
                <w:szCs w:val="22"/>
                <w:lang w:eastAsia="en-GB"/>
              </w:rPr>
              <w:t>1</w:t>
            </w:r>
            <w:r w:rsidRPr="003C7B02">
              <w:rPr>
                <w:rFonts w:cs="Arial"/>
                <w:b/>
                <w:color w:val="000000"/>
                <w:sz w:val="22"/>
                <w:szCs w:val="22"/>
                <w:lang w:eastAsia="en-GB"/>
              </w:rPr>
              <w:t>0</w:t>
            </w:r>
            <w:r w:rsidR="00E74A31" w:rsidRPr="003C7B02">
              <w:rPr>
                <w:rFonts w:cs="Arial"/>
                <w:b/>
                <w:color w:val="000000"/>
                <w:sz w:val="22"/>
                <w:szCs w:val="22"/>
                <w:lang w:eastAsia="en-GB"/>
              </w:rPr>
              <w:t>3</w:t>
            </w:r>
          </w:p>
        </w:tc>
      </w:tr>
      <w:tr w:rsidR="00AF234B" w:rsidRPr="00EA69AE" w:rsidTr="003C7B02">
        <w:trPr>
          <w:trHeight w:val="315"/>
        </w:trPr>
        <w:tc>
          <w:tcPr>
            <w:tcW w:w="4500" w:type="dxa"/>
            <w:tcBorders>
              <w:top w:val="nil"/>
              <w:left w:val="single" w:sz="8" w:space="0" w:color="auto"/>
              <w:bottom w:val="single" w:sz="8" w:space="0" w:color="auto"/>
              <w:right w:val="single" w:sz="8" w:space="0" w:color="auto"/>
            </w:tcBorders>
            <w:shd w:val="clear" w:color="auto" w:fill="auto"/>
            <w:noWrap/>
            <w:vAlign w:val="center"/>
            <w:hideMark/>
          </w:tcPr>
          <w:p w:rsidR="00AF234B" w:rsidRPr="00E96392" w:rsidRDefault="00AF234B" w:rsidP="001D4F05">
            <w:pPr>
              <w:rPr>
                <w:rFonts w:cs="Arial"/>
                <w:color w:val="000000"/>
                <w:sz w:val="22"/>
                <w:szCs w:val="22"/>
                <w:lang w:eastAsia="en-GB"/>
              </w:rPr>
            </w:pPr>
            <w:r w:rsidRPr="00E96392">
              <w:rPr>
                <w:rFonts w:cs="Arial"/>
                <w:color w:val="000000"/>
                <w:sz w:val="22"/>
                <w:szCs w:val="22"/>
                <w:lang w:eastAsia="en-GB"/>
              </w:rPr>
              <w:t> </w:t>
            </w:r>
          </w:p>
        </w:tc>
        <w:tc>
          <w:tcPr>
            <w:tcW w:w="953" w:type="dxa"/>
            <w:tcBorders>
              <w:top w:val="nil"/>
              <w:left w:val="nil"/>
              <w:bottom w:val="single" w:sz="8" w:space="0" w:color="auto"/>
              <w:right w:val="single" w:sz="8" w:space="0" w:color="auto"/>
            </w:tcBorders>
            <w:shd w:val="clear" w:color="auto" w:fill="auto"/>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 </w:t>
            </w:r>
          </w:p>
        </w:tc>
        <w:tc>
          <w:tcPr>
            <w:tcW w:w="967" w:type="dxa"/>
            <w:tcBorders>
              <w:top w:val="nil"/>
              <w:left w:val="nil"/>
              <w:bottom w:val="single" w:sz="8" w:space="0" w:color="auto"/>
              <w:right w:val="single" w:sz="8" w:space="0" w:color="auto"/>
            </w:tcBorders>
            <w:shd w:val="clear" w:color="auto" w:fill="auto"/>
            <w:noWrap/>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 </w:t>
            </w:r>
          </w:p>
        </w:tc>
        <w:tc>
          <w:tcPr>
            <w:tcW w:w="960" w:type="dxa"/>
            <w:tcBorders>
              <w:top w:val="nil"/>
              <w:left w:val="nil"/>
              <w:bottom w:val="single" w:sz="8" w:space="0" w:color="auto"/>
              <w:right w:val="single" w:sz="8" w:space="0" w:color="auto"/>
            </w:tcBorders>
            <w:shd w:val="clear" w:color="auto" w:fill="auto"/>
            <w:noWrap/>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 </w:t>
            </w:r>
          </w:p>
        </w:tc>
        <w:tc>
          <w:tcPr>
            <w:tcW w:w="960" w:type="dxa"/>
            <w:tcBorders>
              <w:top w:val="nil"/>
              <w:left w:val="nil"/>
              <w:bottom w:val="single" w:sz="8" w:space="0" w:color="auto"/>
              <w:right w:val="single" w:sz="8" w:space="0" w:color="auto"/>
            </w:tcBorders>
            <w:vAlign w:val="center"/>
          </w:tcPr>
          <w:p w:rsidR="00AF234B" w:rsidRPr="00E96392" w:rsidRDefault="00AF234B" w:rsidP="003C7B02">
            <w:pPr>
              <w:jc w:val="right"/>
              <w:rPr>
                <w:rFonts w:cs="Arial"/>
                <w:color w:val="000000"/>
                <w:sz w:val="22"/>
                <w:szCs w:val="22"/>
                <w:lang w:eastAsia="en-GB"/>
              </w:rPr>
            </w:pPr>
          </w:p>
        </w:tc>
      </w:tr>
      <w:tr w:rsidR="00AF234B" w:rsidRPr="00EA69AE" w:rsidTr="003C7B02">
        <w:trPr>
          <w:trHeight w:val="315"/>
        </w:trPr>
        <w:tc>
          <w:tcPr>
            <w:tcW w:w="4500" w:type="dxa"/>
            <w:tcBorders>
              <w:top w:val="nil"/>
              <w:left w:val="single" w:sz="8" w:space="0" w:color="auto"/>
              <w:bottom w:val="single" w:sz="8" w:space="0" w:color="auto"/>
              <w:right w:val="single" w:sz="8" w:space="0" w:color="auto"/>
            </w:tcBorders>
            <w:shd w:val="clear" w:color="auto" w:fill="auto"/>
            <w:noWrap/>
            <w:vAlign w:val="center"/>
            <w:hideMark/>
          </w:tcPr>
          <w:p w:rsidR="00AF234B" w:rsidRPr="001D4F05" w:rsidRDefault="00AF234B" w:rsidP="001D4F05">
            <w:pPr>
              <w:rPr>
                <w:rFonts w:cs="Arial"/>
                <w:b/>
                <w:color w:val="000000"/>
                <w:sz w:val="22"/>
                <w:szCs w:val="22"/>
                <w:lang w:eastAsia="en-GB"/>
              </w:rPr>
            </w:pPr>
            <w:r w:rsidRPr="001D4F05">
              <w:rPr>
                <w:rFonts w:cs="Arial"/>
                <w:b/>
                <w:color w:val="000000"/>
                <w:sz w:val="22"/>
                <w:szCs w:val="22"/>
                <w:lang w:eastAsia="en-GB"/>
              </w:rPr>
              <w:t>Central and Support Services</w:t>
            </w:r>
          </w:p>
        </w:tc>
        <w:tc>
          <w:tcPr>
            <w:tcW w:w="953" w:type="dxa"/>
            <w:tcBorders>
              <w:top w:val="nil"/>
              <w:left w:val="nil"/>
              <w:bottom w:val="single" w:sz="8" w:space="0" w:color="auto"/>
              <w:right w:val="single" w:sz="8" w:space="0" w:color="auto"/>
            </w:tcBorders>
            <w:shd w:val="clear" w:color="auto" w:fill="auto"/>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 </w:t>
            </w:r>
          </w:p>
        </w:tc>
        <w:tc>
          <w:tcPr>
            <w:tcW w:w="967" w:type="dxa"/>
            <w:tcBorders>
              <w:top w:val="nil"/>
              <w:left w:val="nil"/>
              <w:bottom w:val="single" w:sz="8" w:space="0" w:color="auto"/>
              <w:right w:val="single" w:sz="8" w:space="0" w:color="auto"/>
            </w:tcBorders>
            <w:shd w:val="clear" w:color="auto" w:fill="auto"/>
            <w:noWrap/>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 </w:t>
            </w:r>
          </w:p>
        </w:tc>
        <w:tc>
          <w:tcPr>
            <w:tcW w:w="960" w:type="dxa"/>
            <w:tcBorders>
              <w:top w:val="nil"/>
              <w:left w:val="nil"/>
              <w:bottom w:val="single" w:sz="8" w:space="0" w:color="auto"/>
              <w:right w:val="single" w:sz="8" w:space="0" w:color="auto"/>
            </w:tcBorders>
            <w:shd w:val="clear" w:color="auto" w:fill="auto"/>
            <w:noWrap/>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 </w:t>
            </w:r>
          </w:p>
        </w:tc>
        <w:tc>
          <w:tcPr>
            <w:tcW w:w="960" w:type="dxa"/>
            <w:tcBorders>
              <w:top w:val="nil"/>
              <w:left w:val="nil"/>
              <w:bottom w:val="single" w:sz="8" w:space="0" w:color="auto"/>
              <w:right w:val="single" w:sz="8" w:space="0" w:color="auto"/>
            </w:tcBorders>
            <w:vAlign w:val="center"/>
          </w:tcPr>
          <w:p w:rsidR="00AF234B" w:rsidRPr="00E96392" w:rsidRDefault="00AF234B" w:rsidP="003C7B02">
            <w:pPr>
              <w:jc w:val="right"/>
              <w:rPr>
                <w:rFonts w:cs="Arial"/>
                <w:color w:val="000000"/>
                <w:sz w:val="22"/>
                <w:szCs w:val="22"/>
                <w:lang w:eastAsia="en-GB"/>
              </w:rPr>
            </w:pPr>
          </w:p>
        </w:tc>
      </w:tr>
      <w:tr w:rsidR="00AF234B" w:rsidRPr="00EA69AE" w:rsidTr="003C7B02">
        <w:trPr>
          <w:trHeight w:val="315"/>
        </w:trPr>
        <w:tc>
          <w:tcPr>
            <w:tcW w:w="4500" w:type="dxa"/>
            <w:tcBorders>
              <w:top w:val="nil"/>
              <w:left w:val="single" w:sz="8" w:space="0" w:color="auto"/>
              <w:bottom w:val="single" w:sz="8" w:space="0" w:color="auto"/>
              <w:right w:val="single" w:sz="8" w:space="0" w:color="auto"/>
            </w:tcBorders>
            <w:shd w:val="clear" w:color="auto" w:fill="auto"/>
            <w:noWrap/>
            <w:vAlign w:val="center"/>
            <w:hideMark/>
          </w:tcPr>
          <w:p w:rsidR="00AF234B" w:rsidRPr="00E96392" w:rsidRDefault="00AF234B" w:rsidP="001D4F05">
            <w:pPr>
              <w:rPr>
                <w:rFonts w:cs="Arial"/>
                <w:color w:val="000000"/>
                <w:sz w:val="22"/>
                <w:szCs w:val="22"/>
                <w:lang w:eastAsia="en-GB"/>
              </w:rPr>
            </w:pPr>
            <w:r w:rsidRPr="00E96392">
              <w:rPr>
                <w:rFonts w:cs="Arial"/>
                <w:color w:val="000000"/>
                <w:sz w:val="22"/>
                <w:szCs w:val="22"/>
                <w:lang w:eastAsia="en-GB"/>
              </w:rPr>
              <w:t>Public Health Advice (including Salary costs)</w:t>
            </w:r>
          </w:p>
        </w:tc>
        <w:tc>
          <w:tcPr>
            <w:tcW w:w="953" w:type="dxa"/>
            <w:tcBorders>
              <w:top w:val="nil"/>
              <w:left w:val="nil"/>
              <w:bottom w:val="single" w:sz="8" w:space="0" w:color="auto"/>
              <w:right w:val="single" w:sz="8" w:space="0" w:color="auto"/>
            </w:tcBorders>
            <w:shd w:val="clear" w:color="auto" w:fill="auto"/>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1,912</w:t>
            </w:r>
          </w:p>
        </w:tc>
        <w:tc>
          <w:tcPr>
            <w:tcW w:w="967" w:type="dxa"/>
            <w:tcBorders>
              <w:top w:val="nil"/>
              <w:left w:val="nil"/>
              <w:bottom w:val="single" w:sz="8" w:space="0" w:color="auto"/>
              <w:right w:val="single" w:sz="8" w:space="0" w:color="auto"/>
            </w:tcBorders>
            <w:shd w:val="clear" w:color="auto" w:fill="auto"/>
            <w:noWrap/>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1,647</w:t>
            </w:r>
          </w:p>
        </w:tc>
        <w:tc>
          <w:tcPr>
            <w:tcW w:w="960" w:type="dxa"/>
            <w:tcBorders>
              <w:top w:val="nil"/>
              <w:left w:val="nil"/>
              <w:bottom w:val="single" w:sz="8" w:space="0" w:color="auto"/>
              <w:right w:val="single" w:sz="8" w:space="0" w:color="auto"/>
            </w:tcBorders>
            <w:shd w:val="clear" w:color="auto" w:fill="auto"/>
            <w:noWrap/>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1,567</w:t>
            </w:r>
          </w:p>
        </w:tc>
        <w:tc>
          <w:tcPr>
            <w:tcW w:w="960" w:type="dxa"/>
            <w:tcBorders>
              <w:top w:val="nil"/>
              <w:left w:val="nil"/>
              <w:bottom w:val="single" w:sz="8" w:space="0" w:color="auto"/>
              <w:right w:val="single" w:sz="8" w:space="0" w:color="auto"/>
            </w:tcBorders>
            <w:vAlign w:val="center"/>
          </w:tcPr>
          <w:p w:rsidR="00AF234B" w:rsidRPr="00E96392" w:rsidRDefault="00E74A31" w:rsidP="003C7B02">
            <w:pPr>
              <w:jc w:val="right"/>
              <w:rPr>
                <w:rFonts w:cs="Arial"/>
                <w:color w:val="000000"/>
                <w:sz w:val="22"/>
                <w:szCs w:val="22"/>
                <w:lang w:eastAsia="en-GB"/>
              </w:rPr>
            </w:pPr>
            <w:r>
              <w:rPr>
                <w:rFonts w:cs="Arial"/>
                <w:color w:val="000000"/>
                <w:sz w:val="22"/>
                <w:szCs w:val="22"/>
                <w:lang w:eastAsia="en-GB"/>
              </w:rPr>
              <w:t>1,117</w:t>
            </w:r>
          </w:p>
        </w:tc>
      </w:tr>
      <w:tr w:rsidR="00AF234B" w:rsidRPr="00EA69AE" w:rsidTr="003C7B02">
        <w:trPr>
          <w:trHeight w:val="315"/>
        </w:trPr>
        <w:tc>
          <w:tcPr>
            <w:tcW w:w="4500" w:type="dxa"/>
            <w:tcBorders>
              <w:top w:val="nil"/>
              <w:left w:val="single" w:sz="8" w:space="0" w:color="auto"/>
              <w:bottom w:val="single" w:sz="8" w:space="0" w:color="auto"/>
              <w:right w:val="single" w:sz="8" w:space="0" w:color="auto"/>
            </w:tcBorders>
            <w:shd w:val="clear" w:color="auto" w:fill="auto"/>
            <w:noWrap/>
            <w:vAlign w:val="center"/>
          </w:tcPr>
          <w:p w:rsidR="00AF234B" w:rsidRPr="00E96392" w:rsidRDefault="00AF234B" w:rsidP="001D4F05">
            <w:pPr>
              <w:rPr>
                <w:rFonts w:cs="Arial"/>
                <w:color w:val="000000"/>
                <w:sz w:val="22"/>
                <w:szCs w:val="22"/>
                <w:lang w:eastAsia="en-GB"/>
              </w:rPr>
            </w:pPr>
            <w:r w:rsidRPr="00E96392">
              <w:rPr>
                <w:rFonts w:cs="Arial"/>
                <w:color w:val="000000"/>
                <w:sz w:val="22"/>
                <w:szCs w:val="22"/>
                <w:lang w:eastAsia="en-GB"/>
              </w:rPr>
              <w:t>Parked Cut – use of ear marked reserves</w:t>
            </w:r>
          </w:p>
        </w:tc>
        <w:tc>
          <w:tcPr>
            <w:tcW w:w="953" w:type="dxa"/>
            <w:tcBorders>
              <w:top w:val="nil"/>
              <w:left w:val="nil"/>
              <w:bottom w:val="single" w:sz="8" w:space="0" w:color="auto"/>
              <w:right w:val="single" w:sz="8" w:space="0" w:color="auto"/>
            </w:tcBorders>
            <w:shd w:val="clear" w:color="auto" w:fill="auto"/>
            <w:vAlign w:val="center"/>
          </w:tcPr>
          <w:p w:rsidR="00AF234B" w:rsidRPr="00E96392" w:rsidRDefault="00AF234B" w:rsidP="003C7B02">
            <w:pPr>
              <w:jc w:val="right"/>
              <w:rPr>
                <w:rFonts w:cs="Arial"/>
                <w:color w:val="000000"/>
                <w:sz w:val="22"/>
                <w:szCs w:val="22"/>
                <w:lang w:eastAsia="en-GB"/>
              </w:rPr>
            </w:pPr>
          </w:p>
        </w:tc>
        <w:tc>
          <w:tcPr>
            <w:tcW w:w="967" w:type="dxa"/>
            <w:tcBorders>
              <w:top w:val="nil"/>
              <w:left w:val="nil"/>
              <w:bottom w:val="single" w:sz="8" w:space="0" w:color="auto"/>
              <w:right w:val="single" w:sz="8" w:space="0" w:color="auto"/>
            </w:tcBorders>
            <w:shd w:val="clear" w:color="auto" w:fill="auto"/>
            <w:noWrap/>
            <w:vAlign w:val="center"/>
          </w:tcPr>
          <w:p w:rsidR="00AF234B" w:rsidRPr="00E96392" w:rsidRDefault="00AF234B" w:rsidP="003C7B02">
            <w:pPr>
              <w:jc w:val="right"/>
              <w:rPr>
                <w:rFonts w:cs="Arial"/>
                <w:color w:val="000000"/>
                <w:sz w:val="22"/>
                <w:szCs w:val="22"/>
                <w:lang w:eastAsia="en-GB"/>
              </w:rPr>
            </w:pPr>
          </w:p>
        </w:tc>
        <w:tc>
          <w:tcPr>
            <w:tcW w:w="960" w:type="dxa"/>
            <w:tcBorders>
              <w:top w:val="nil"/>
              <w:left w:val="nil"/>
              <w:bottom w:val="single" w:sz="8" w:space="0" w:color="auto"/>
              <w:right w:val="single" w:sz="8" w:space="0" w:color="auto"/>
            </w:tcBorders>
            <w:shd w:val="clear" w:color="auto" w:fill="auto"/>
            <w:noWrap/>
            <w:vAlign w:val="center"/>
          </w:tcPr>
          <w:p w:rsidR="00AF234B" w:rsidRPr="00E96392" w:rsidRDefault="00AF234B" w:rsidP="003C7B02">
            <w:pPr>
              <w:jc w:val="right"/>
              <w:rPr>
                <w:rFonts w:cs="Arial"/>
                <w:color w:val="000000"/>
                <w:sz w:val="22"/>
                <w:szCs w:val="22"/>
                <w:lang w:eastAsia="en-GB"/>
              </w:rPr>
            </w:pPr>
          </w:p>
        </w:tc>
        <w:tc>
          <w:tcPr>
            <w:tcW w:w="960" w:type="dxa"/>
            <w:tcBorders>
              <w:top w:val="nil"/>
              <w:left w:val="nil"/>
              <w:bottom w:val="single" w:sz="8" w:space="0" w:color="auto"/>
              <w:right w:val="single" w:sz="8" w:space="0" w:color="auto"/>
            </w:tcBorders>
            <w:vAlign w:val="center"/>
          </w:tcPr>
          <w:p w:rsidR="00AF234B" w:rsidRPr="00E96392" w:rsidRDefault="00E74A31" w:rsidP="003C7B02">
            <w:pPr>
              <w:jc w:val="right"/>
              <w:rPr>
                <w:rFonts w:cs="Arial"/>
                <w:color w:val="000000"/>
                <w:sz w:val="22"/>
                <w:szCs w:val="22"/>
                <w:lang w:eastAsia="en-GB"/>
              </w:rPr>
            </w:pPr>
            <w:r>
              <w:rPr>
                <w:rFonts w:cs="Arial"/>
                <w:color w:val="000000"/>
                <w:sz w:val="22"/>
                <w:szCs w:val="22"/>
                <w:lang w:eastAsia="en-GB"/>
              </w:rPr>
              <w:t>-261</w:t>
            </w:r>
          </w:p>
        </w:tc>
      </w:tr>
      <w:tr w:rsidR="00AF234B" w:rsidRPr="00EA69AE" w:rsidTr="003C7B02">
        <w:trPr>
          <w:trHeight w:val="315"/>
        </w:trPr>
        <w:tc>
          <w:tcPr>
            <w:tcW w:w="4500" w:type="dxa"/>
            <w:tcBorders>
              <w:top w:val="nil"/>
              <w:left w:val="single" w:sz="8" w:space="0" w:color="auto"/>
              <w:bottom w:val="single" w:sz="8" w:space="0" w:color="auto"/>
              <w:right w:val="single" w:sz="8" w:space="0" w:color="auto"/>
            </w:tcBorders>
            <w:shd w:val="clear" w:color="auto" w:fill="auto"/>
            <w:noWrap/>
            <w:vAlign w:val="center"/>
            <w:hideMark/>
          </w:tcPr>
          <w:p w:rsidR="00AF234B" w:rsidRPr="00E96392" w:rsidRDefault="00AF234B" w:rsidP="001D4F05">
            <w:pPr>
              <w:rPr>
                <w:rFonts w:cs="Arial"/>
                <w:color w:val="000000"/>
                <w:sz w:val="22"/>
                <w:szCs w:val="22"/>
                <w:lang w:eastAsia="en-GB"/>
              </w:rPr>
            </w:pPr>
            <w:r w:rsidRPr="00E96392">
              <w:rPr>
                <w:rFonts w:cs="Arial"/>
                <w:color w:val="000000"/>
                <w:sz w:val="22"/>
                <w:szCs w:val="22"/>
                <w:lang w:eastAsia="en-GB"/>
              </w:rPr>
              <w:t>Support services</w:t>
            </w:r>
          </w:p>
        </w:tc>
        <w:tc>
          <w:tcPr>
            <w:tcW w:w="953" w:type="dxa"/>
            <w:tcBorders>
              <w:top w:val="nil"/>
              <w:left w:val="nil"/>
              <w:bottom w:val="single" w:sz="8" w:space="0" w:color="auto"/>
              <w:right w:val="single" w:sz="8" w:space="0" w:color="auto"/>
            </w:tcBorders>
            <w:shd w:val="clear" w:color="auto" w:fill="auto"/>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354</w:t>
            </w:r>
          </w:p>
        </w:tc>
        <w:tc>
          <w:tcPr>
            <w:tcW w:w="967" w:type="dxa"/>
            <w:tcBorders>
              <w:top w:val="nil"/>
              <w:left w:val="nil"/>
              <w:bottom w:val="single" w:sz="8" w:space="0" w:color="auto"/>
              <w:right w:val="single" w:sz="8" w:space="0" w:color="auto"/>
            </w:tcBorders>
            <w:shd w:val="clear" w:color="auto" w:fill="auto"/>
            <w:noWrap/>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296</w:t>
            </w:r>
          </w:p>
        </w:tc>
        <w:tc>
          <w:tcPr>
            <w:tcW w:w="960" w:type="dxa"/>
            <w:tcBorders>
              <w:top w:val="nil"/>
              <w:left w:val="nil"/>
              <w:bottom w:val="single" w:sz="8" w:space="0" w:color="auto"/>
              <w:right w:val="single" w:sz="8" w:space="0" w:color="auto"/>
            </w:tcBorders>
            <w:shd w:val="clear" w:color="auto" w:fill="auto"/>
            <w:noWrap/>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296</w:t>
            </w:r>
          </w:p>
        </w:tc>
        <w:tc>
          <w:tcPr>
            <w:tcW w:w="960" w:type="dxa"/>
            <w:tcBorders>
              <w:top w:val="nil"/>
              <w:left w:val="nil"/>
              <w:bottom w:val="single" w:sz="8" w:space="0" w:color="auto"/>
              <w:right w:val="single" w:sz="8" w:space="0" w:color="auto"/>
            </w:tcBorders>
            <w:vAlign w:val="center"/>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360</w:t>
            </w:r>
          </w:p>
        </w:tc>
      </w:tr>
      <w:tr w:rsidR="00AF234B" w:rsidRPr="003C7B02" w:rsidTr="003C7B02">
        <w:trPr>
          <w:trHeight w:val="315"/>
        </w:trPr>
        <w:tc>
          <w:tcPr>
            <w:tcW w:w="4500" w:type="dxa"/>
            <w:tcBorders>
              <w:top w:val="nil"/>
              <w:left w:val="single" w:sz="8" w:space="0" w:color="auto"/>
              <w:bottom w:val="single" w:sz="8" w:space="0" w:color="auto"/>
              <w:right w:val="single" w:sz="8" w:space="0" w:color="auto"/>
            </w:tcBorders>
            <w:shd w:val="clear" w:color="auto" w:fill="auto"/>
            <w:noWrap/>
            <w:vAlign w:val="center"/>
            <w:hideMark/>
          </w:tcPr>
          <w:p w:rsidR="00AF234B" w:rsidRPr="003C7B02" w:rsidRDefault="00AF234B" w:rsidP="001D4F05">
            <w:pPr>
              <w:rPr>
                <w:rFonts w:cs="Arial"/>
                <w:b/>
                <w:color w:val="000000"/>
                <w:sz w:val="22"/>
                <w:szCs w:val="22"/>
                <w:lang w:eastAsia="en-GB"/>
              </w:rPr>
            </w:pPr>
            <w:r w:rsidRPr="003C7B02">
              <w:rPr>
                <w:rFonts w:cs="Arial"/>
                <w:b/>
                <w:color w:val="000000"/>
                <w:sz w:val="22"/>
                <w:szCs w:val="22"/>
                <w:lang w:eastAsia="en-GB"/>
              </w:rPr>
              <w:t>Sub-total Central and Support Services</w:t>
            </w:r>
          </w:p>
        </w:tc>
        <w:tc>
          <w:tcPr>
            <w:tcW w:w="953" w:type="dxa"/>
            <w:tcBorders>
              <w:top w:val="nil"/>
              <w:left w:val="nil"/>
              <w:bottom w:val="single" w:sz="8" w:space="0" w:color="auto"/>
              <w:right w:val="single" w:sz="8" w:space="0" w:color="auto"/>
            </w:tcBorders>
            <w:shd w:val="clear" w:color="auto" w:fill="auto"/>
            <w:vAlign w:val="center"/>
            <w:hideMark/>
          </w:tcPr>
          <w:p w:rsidR="00AF234B" w:rsidRPr="003C7B02" w:rsidRDefault="00AF234B" w:rsidP="003C7B02">
            <w:pPr>
              <w:jc w:val="right"/>
              <w:rPr>
                <w:rFonts w:cs="Arial"/>
                <w:b/>
                <w:color w:val="000000"/>
                <w:sz w:val="22"/>
                <w:szCs w:val="22"/>
                <w:lang w:eastAsia="en-GB"/>
              </w:rPr>
            </w:pPr>
            <w:r w:rsidRPr="003C7B02">
              <w:rPr>
                <w:rFonts w:cs="Arial"/>
                <w:b/>
                <w:color w:val="000000"/>
                <w:sz w:val="22"/>
                <w:szCs w:val="22"/>
                <w:lang w:eastAsia="en-GB"/>
              </w:rPr>
              <w:t>2,266</w:t>
            </w:r>
          </w:p>
        </w:tc>
        <w:tc>
          <w:tcPr>
            <w:tcW w:w="967" w:type="dxa"/>
            <w:tcBorders>
              <w:top w:val="nil"/>
              <w:left w:val="nil"/>
              <w:bottom w:val="single" w:sz="8" w:space="0" w:color="auto"/>
              <w:right w:val="single" w:sz="8" w:space="0" w:color="auto"/>
            </w:tcBorders>
            <w:shd w:val="clear" w:color="auto" w:fill="auto"/>
            <w:noWrap/>
            <w:vAlign w:val="center"/>
            <w:hideMark/>
          </w:tcPr>
          <w:p w:rsidR="00AF234B" w:rsidRPr="003C7B02" w:rsidRDefault="00AF234B" w:rsidP="003C7B02">
            <w:pPr>
              <w:jc w:val="right"/>
              <w:rPr>
                <w:rFonts w:cs="Arial"/>
                <w:b/>
                <w:color w:val="000000"/>
                <w:sz w:val="22"/>
                <w:szCs w:val="22"/>
                <w:lang w:eastAsia="en-GB"/>
              </w:rPr>
            </w:pPr>
            <w:r w:rsidRPr="003C7B02">
              <w:rPr>
                <w:rFonts w:cs="Arial"/>
                <w:b/>
                <w:color w:val="000000"/>
                <w:sz w:val="22"/>
                <w:szCs w:val="22"/>
                <w:lang w:eastAsia="en-GB"/>
              </w:rPr>
              <w:t>1,943</w:t>
            </w:r>
          </w:p>
        </w:tc>
        <w:tc>
          <w:tcPr>
            <w:tcW w:w="960" w:type="dxa"/>
            <w:tcBorders>
              <w:top w:val="nil"/>
              <w:left w:val="nil"/>
              <w:bottom w:val="single" w:sz="8" w:space="0" w:color="auto"/>
              <w:right w:val="single" w:sz="8" w:space="0" w:color="auto"/>
            </w:tcBorders>
            <w:shd w:val="clear" w:color="auto" w:fill="auto"/>
            <w:noWrap/>
            <w:vAlign w:val="center"/>
            <w:hideMark/>
          </w:tcPr>
          <w:p w:rsidR="00AF234B" w:rsidRPr="003C7B02" w:rsidRDefault="00AF234B" w:rsidP="003C7B02">
            <w:pPr>
              <w:jc w:val="right"/>
              <w:rPr>
                <w:rFonts w:cs="Arial"/>
                <w:b/>
                <w:color w:val="000000"/>
                <w:sz w:val="22"/>
                <w:szCs w:val="22"/>
                <w:lang w:eastAsia="en-GB"/>
              </w:rPr>
            </w:pPr>
            <w:r w:rsidRPr="003C7B02">
              <w:rPr>
                <w:rFonts w:cs="Arial"/>
                <w:b/>
                <w:color w:val="000000"/>
                <w:sz w:val="22"/>
                <w:szCs w:val="22"/>
                <w:lang w:eastAsia="en-GB"/>
              </w:rPr>
              <w:t>1,863</w:t>
            </w:r>
          </w:p>
        </w:tc>
        <w:tc>
          <w:tcPr>
            <w:tcW w:w="960" w:type="dxa"/>
            <w:tcBorders>
              <w:top w:val="nil"/>
              <w:left w:val="nil"/>
              <w:bottom w:val="single" w:sz="8" w:space="0" w:color="auto"/>
              <w:right w:val="single" w:sz="8" w:space="0" w:color="auto"/>
            </w:tcBorders>
            <w:vAlign w:val="center"/>
          </w:tcPr>
          <w:p w:rsidR="00AF234B" w:rsidRPr="003C7B02" w:rsidRDefault="00E74A31" w:rsidP="003C7B02">
            <w:pPr>
              <w:jc w:val="right"/>
              <w:rPr>
                <w:rFonts w:cs="Arial"/>
                <w:b/>
                <w:color w:val="000000"/>
                <w:sz w:val="22"/>
                <w:szCs w:val="22"/>
                <w:lang w:eastAsia="en-GB"/>
              </w:rPr>
            </w:pPr>
            <w:r w:rsidRPr="003C7B02">
              <w:rPr>
                <w:rFonts w:cs="Arial"/>
                <w:b/>
                <w:color w:val="000000"/>
                <w:sz w:val="22"/>
                <w:szCs w:val="22"/>
                <w:lang w:eastAsia="en-GB"/>
              </w:rPr>
              <w:t>1,216</w:t>
            </w:r>
          </w:p>
        </w:tc>
      </w:tr>
      <w:tr w:rsidR="00AF234B" w:rsidRPr="00EA69AE" w:rsidTr="003C7B02">
        <w:trPr>
          <w:trHeight w:val="315"/>
        </w:trPr>
        <w:tc>
          <w:tcPr>
            <w:tcW w:w="4500" w:type="dxa"/>
            <w:tcBorders>
              <w:top w:val="nil"/>
              <w:left w:val="single" w:sz="8" w:space="0" w:color="auto"/>
              <w:bottom w:val="single" w:sz="8" w:space="0" w:color="auto"/>
              <w:right w:val="single" w:sz="8" w:space="0" w:color="auto"/>
            </w:tcBorders>
            <w:shd w:val="clear" w:color="auto" w:fill="auto"/>
            <w:noWrap/>
            <w:vAlign w:val="center"/>
            <w:hideMark/>
          </w:tcPr>
          <w:p w:rsidR="00AF234B" w:rsidRPr="00E96392" w:rsidRDefault="00AF234B" w:rsidP="001D4F05">
            <w:pPr>
              <w:rPr>
                <w:rFonts w:cs="Arial"/>
                <w:color w:val="000000"/>
                <w:sz w:val="22"/>
                <w:szCs w:val="22"/>
                <w:lang w:eastAsia="en-GB"/>
              </w:rPr>
            </w:pPr>
            <w:r w:rsidRPr="00E96392">
              <w:rPr>
                <w:rFonts w:cs="Arial"/>
                <w:color w:val="000000"/>
                <w:sz w:val="22"/>
                <w:szCs w:val="22"/>
                <w:lang w:eastAsia="en-GB"/>
              </w:rPr>
              <w:t> </w:t>
            </w:r>
          </w:p>
        </w:tc>
        <w:tc>
          <w:tcPr>
            <w:tcW w:w="953" w:type="dxa"/>
            <w:tcBorders>
              <w:top w:val="nil"/>
              <w:left w:val="nil"/>
              <w:bottom w:val="single" w:sz="8" w:space="0" w:color="auto"/>
              <w:right w:val="single" w:sz="8" w:space="0" w:color="auto"/>
            </w:tcBorders>
            <w:shd w:val="clear" w:color="auto" w:fill="auto"/>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 </w:t>
            </w:r>
          </w:p>
        </w:tc>
        <w:tc>
          <w:tcPr>
            <w:tcW w:w="967" w:type="dxa"/>
            <w:tcBorders>
              <w:top w:val="nil"/>
              <w:left w:val="nil"/>
              <w:bottom w:val="single" w:sz="8" w:space="0" w:color="auto"/>
              <w:right w:val="single" w:sz="8" w:space="0" w:color="auto"/>
            </w:tcBorders>
            <w:shd w:val="clear" w:color="auto" w:fill="auto"/>
            <w:noWrap/>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 </w:t>
            </w:r>
          </w:p>
        </w:tc>
        <w:tc>
          <w:tcPr>
            <w:tcW w:w="960" w:type="dxa"/>
            <w:tcBorders>
              <w:top w:val="nil"/>
              <w:left w:val="nil"/>
              <w:bottom w:val="single" w:sz="8" w:space="0" w:color="auto"/>
              <w:right w:val="single" w:sz="8" w:space="0" w:color="auto"/>
            </w:tcBorders>
            <w:shd w:val="clear" w:color="auto" w:fill="auto"/>
            <w:noWrap/>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 </w:t>
            </w:r>
          </w:p>
        </w:tc>
        <w:tc>
          <w:tcPr>
            <w:tcW w:w="960" w:type="dxa"/>
            <w:tcBorders>
              <w:top w:val="nil"/>
              <w:left w:val="nil"/>
              <w:bottom w:val="single" w:sz="8" w:space="0" w:color="auto"/>
              <w:right w:val="single" w:sz="8" w:space="0" w:color="auto"/>
            </w:tcBorders>
            <w:vAlign w:val="center"/>
          </w:tcPr>
          <w:p w:rsidR="00AF234B" w:rsidRPr="00E96392" w:rsidRDefault="00AF234B" w:rsidP="003C7B02">
            <w:pPr>
              <w:jc w:val="right"/>
              <w:rPr>
                <w:rFonts w:cs="Arial"/>
                <w:color w:val="000000"/>
                <w:sz w:val="22"/>
                <w:szCs w:val="22"/>
                <w:lang w:eastAsia="en-GB"/>
              </w:rPr>
            </w:pPr>
          </w:p>
        </w:tc>
      </w:tr>
      <w:tr w:rsidR="00AF234B" w:rsidRPr="00EA69AE" w:rsidTr="003C7B02">
        <w:trPr>
          <w:trHeight w:val="315"/>
        </w:trPr>
        <w:tc>
          <w:tcPr>
            <w:tcW w:w="4500" w:type="dxa"/>
            <w:tcBorders>
              <w:top w:val="nil"/>
              <w:left w:val="single" w:sz="8" w:space="0" w:color="auto"/>
              <w:bottom w:val="single" w:sz="8" w:space="0" w:color="auto"/>
              <w:right w:val="single" w:sz="8" w:space="0" w:color="auto"/>
            </w:tcBorders>
            <w:shd w:val="clear" w:color="auto" w:fill="auto"/>
            <w:noWrap/>
            <w:vAlign w:val="center"/>
            <w:hideMark/>
          </w:tcPr>
          <w:p w:rsidR="00AF234B" w:rsidRPr="001D4F05" w:rsidRDefault="00AF234B" w:rsidP="001D4F05">
            <w:pPr>
              <w:rPr>
                <w:rFonts w:cs="Arial"/>
                <w:b/>
                <w:color w:val="000000"/>
                <w:sz w:val="22"/>
                <w:szCs w:val="22"/>
                <w:lang w:eastAsia="en-GB"/>
              </w:rPr>
            </w:pPr>
            <w:r w:rsidRPr="001D4F05">
              <w:rPr>
                <w:rFonts w:cs="Arial"/>
                <w:b/>
                <w:color w:val="000000"/>
                <w:sz w:val="22"/>
                <w:szCs w:val="22"/>
                <w:lang w:eastAsia="en-GB"/>
              </w:rPr>
              <w:t>Contingency</w:t>
            </w:r>
            <w:r w:rsidR="003C7B02">
              <w:rPr>
                <w:rFonts w:cs="Arial"/>
                <w:b/>
                <w:color w:val="000000"/>
                <w:sz w:val="22"/>
                <w:szCs w:val="22"/>
                <w:lang w:eastAsia="en-GB"/>
              </w:rPr>
              <w:t xml:space="preserve"> used</w:t>
            </w:r>
          </w:p>
        </w:tc>
        <w:tc>
          <w:tcPr>
            <w:tcW w:w="953" w:type="dxa"/>
            <w:tcBorders>
              <w:top w:val="nil"/>
              <w:left w:val="nil"/>
              <w:bottom w:val="single" w:sz="8" w:space="0" w:color="auto"/>
              <w:right w:val="single" w:sz="8" w:space="0" w:color="auto"/>
            </w:tcBorders>
            <w:shd w:val="clear" w:color="auto" w:fill="auto"/>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516</w:t>
            </w:r>
          </w:p>
        </w:tc>
        <w:tc>
          <w:tcPr>
            <w:tcW w:w="967" w:type="dxa"/>
            <w:tcBorders>
              <w:top w:val="nil"/>
              <w:left w:val="nil"/>
              <w:bottom w:val="single" w:sz="8" w:space="0" w:color="auto"/>
              <w:right w:val="single" w:sz="8" w:space="0" w:color="auto"/>
            </w:tcBorders>
            <w:shd w:val="clear" w:color="auto" w:fill="auto"/>
            <w:noWrap/>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100</w:t>
            </w:r>
          </w:p>
        </w:tc>
        <w:tc>
          <w:tcPr>
            <w:tcW w:w="960" w:type="dxa"/>
            <w:tcBorders>
              <w:top w:val="nil"/>
              <w:left w:val="nil"/>
              <w:bottom w:val="single" w:sz="8" w:space="0" w:color="auto"/>
              <w:right w:val="single" w:sz="8" w:space="0" w:color="auto"/>
            </w:tcBorders>
            <w:shd w:val="clear" w:color="auto" w:fill="auto"/>
            <w:noWrap/>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0</w:t>
            </w:r>
          </w:p>
        </w:tc>
        <w:tc>
          <w:tcPr>
            <w:tcW w:w="960" w:type="dxa"/>
            <w:tcBorders>
              <w:top w:val="nil"/>
              <w:left w:val="nil"/>
              <w:bottom w:val="single" w:sz="8" w:space="0" w:color="auto"/>
              <w:right w:val="single" w:sz="8" w:space="0" w:color="auto"/>
            </w:tcBorders>
            <w:vAlign w:val="center"/>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0</w:t>
            </w:r>
          </w:p>
        </w:tc>
      </w:tr>
      <w:tr w:rsidR="00AF234B" w:rsidRPr="00EA69AE" w:rsidTr="003C7B02">
        <w:trPr>
          <w:trHeight w:val="315"/>
        </w:trPr>
        <w:tc>
          <w:tcPr>
            <w:tcW w:w="4500" w:type="dxa"/>
            <w:tcBorders>
              <w:top w:val="nil"/>
              <w:left w:val="single" w:sz="8" w:space="0" w:color="auto"/>
              <w:bottom w:val="single" w:sz="8" w:space="0" w:color="auto"/>
              <w:right w:val="single" w:sz="8" w:space="0" w:color="auto"/>
            </w:tcBorders>
            <w:shd w:val="clear" w:color="auto" w:fill="auto"/>
            <w:noWrap/>
            <w:vAlign w:val="center"/>
            <w:hideMark/>
          </w:tcPr>
          <w:p w:rsidR="00AF234B" w:rsidRPr="00E96392" w:rsidRDefault="00AF234B" w:rsidP="001D4F05">
            <w:pPr>
              <w:rPr>
                <w:rFonts w:cs="Arial"/>
                <w:color w:val="000000"/>
                <w:sz w:val="22"/>
                <w:szCs w:val="22"/>
                <w:lang w:eastAsia="en-GB"/>
              </w:rPr>
            </w:pPr>
            <w:r w:rsidRPr="00E96392">
              <w:rPr>
                <w:rFonts w:cs="Arial"/>
                <w:color w:val="000000"/>
                <w:sz w:val="22"/>
                <w:szCs w:val="22"/>
                <w:lang w:eastAsia="en-GB"/>
              </w:rPr>
              <w:t> </w:t>
            </w:r>
          </w:p>
        </w:tc>
        <w:tc>
          <w:tcPr>
            <w:tcW w:w="953" w:type="dxa"/>
            <w:tcBorders>
              <w:top w:val="nil"/>
              <w:left w:val="nil"/>
              <w:bottom w:val="single" w:sz="8" w:space="0" w:color="auto"/>
              <w:right w:val="single" w:sz="8" w:space="0" w:color="auto"/>
            </w:tcBorders>
            <w:shd w:val="clear" w:color="auto" w:fill="auto"/>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 </w:t>
            </w:r>
          </w:p>
        </w:tc>
        <w:tc>
          <w:tcPr>
            <w:tcW w:w="967" w:type="dxa"/>
            <w:tcBorders>
              <w:top w:val="nil"/>
              <w:left w:val="nil"/>
              <w:bottom w:val="single" w:sz="8" w:space="0" w:color="auto"/>
              <w:right w:val="single" w:sz="8" w:space="0" w:color="auto"/>
            </w:tcBorders>
            <w:shd w:val="clear" w:color="auto" w:fill="auto"/>
            <w:noWrap/>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 </w:t>
            </w:r>
          </w:p>
        </w:tc>
        <w:tc>
          <w:tcPr>
            <w:tcW w:w="960" w:type="dxa"/>
            <w:tcBorders>
              <w:top w:val="nil"/>
              <w:left w:val="nil"/>
              <w:bottom w:val="single" w:sz="8" w:space="0" w:color="auto"/>
              <w:right w:val="single" w:sz="8" w:space="0" w:color="auto"/>
            </w:tcBorders>
            <w:shd w:val="clear" w:color="auto" w:fill="auto"/>
            <w:noWrap/>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 </w:t>
            </w:r>
          </w:p>
        </w:tc>
        <w:tc>
          <w:tcPr>
            <w:tcW w:w="960" w:type="dxa"/>
            <w:tcBorders>
              <w:top w:val="nil"/>
              <w:left w:val="nil"/>
              <w:bottom w:val="single" w:sz="8" w:space="0" w:color="auto"/>
              <w:right w:val="single" w:sz="8" w:space="0" w:color="auto"/>
            </w:tcBorders>
            <w:vAlign w:val="center"/>
          </w:tcPr>
          <w:p w:rsidR="00AF234B" w:rsidRPr="00E96392" w:rsidRDefault="00AF234B" w:rsidP="003C7B02">
            <w:pPr>
              <w:jc w:val="right"/>
              <w:rPr>
                <w:rFonts w:cs="Arial"/>
                <w:color w:val="000000"/>
                <w:sz w:val="22"/>
                <w:szCs w:val="22"/>
                <w:lang w:eastAsia="en-GB"/>
              </w:rPr>
            </w:pPr>
          </w:p>
        </w:tc>
      </w:tr>
      <w:tr w:rsidR="00AF234B" w:rsidRPr="00EA69AE" w:rsidTr="003C7B02">
        <w:trPr>
          <w:trHeight w:val="315"/>
        </w:trPr>
        <w:tc>
          <w:tcPr>
            <w:tcW w:w="4500" w:type="dxa"/>
            <w:tcBorders>
              <w:top w:val="nil"/>
              <w:left w:val="single" w:sz="8" w:space="0" w:color="auto"/>
              <w:bottom w:val="single" w:sz="8" w:space="0" w:color="auto"/>
              <w:right w:val="single" w:sz="8" w:space="0" w:color="auto"/>
            </w:tcBorders>
            <w:shd w:val="clear" w:color="auto" w:fill="auto"/>
            <w:noWrap/>
            <w:vAlign w:val="center"/>
            <w:hideMark/>
          </w:tcPr>
          <w:p w:rsidR="00AF234B" w:rsidRPr="001D4F05" w:rsidRDefault="00AF234B" w:rsidP="001D4F05">
            <w:pPr>
              <w:rPr>
                <w:rFonts w:cs="Arial"/>
                <w:b/>
                <w:color w:val="000000"/>
                <w:sz w:val="22"/>
                <w:szCs w:val="22"/>
                <w:lang w:eastAsia="en-GB"/>
              </w:rPr>
            </w:pPr>
            <w:r w:rsidRPr="001D4F05">
              <w:rPr>
                <w:rFonts w:cs="Arial"/>
                <w:b/>
                <w:color w:val="000000"/>
                <w:sz w:val="22"/>
                <w:szCs w:val="22"/>
                <w:lang w:eastAsia="en-GB"/>
              </w:rPr>
              <w:t>Wider Determinants fund</w:t>
            </w:r>
          </w:p>
        </w:tc>
        <w:tc>
          <w:tcPr>
            <w:tcW w:w="953" w:type="dxa"/>
            <w:tcBorders>
              <w:top w:val="nil"/>
              <w:left w:val="nil"/>
              <w:bottom w:val="single" w:sz="8" w:space="0" w:color="auto"/>
              <w:right w:val="single" w:sz="8" w:space="0" w:color="auto"/>
            </w:tcBorders>
            <w:shd w:val="clear" w:color="auto" w:fill="auto"/>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1,325</w:t>
            </w:r>
          </w:p>
        </w:tc>
        <w:tc>
          <w:tcPr>
            <w:tcW w:w="967" w:type="dxa"/>
            <w:tcBorders>
              <w:top w:val="nil"/>
              <w:left w:val="nil"/>
              <w:bottom w:val="single" w:sz="8" w:space="0" w:color="auto"/>
              <w:right w:val="single" w:sz="8" w:space="0" w:color="auto"/>
            </w:tcBorders>
            <w:shd w:val="clear" w:color="auto" w:fill="auto"/>
            <w:noWrap/>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3,676</w:t>
            </w:r>
          </w:p>
        </w:tc>
        <w:tc>
          <w:tcPr>
            <w:tcW w:w="960" w:type="dxa"/>
            <w:tcBorders>
              <w:top w:val="nil"/>
              <w:left w:val="nil"/>
              <w:bottom w:val="single" w:sz="8" w:space="0" w:color="auto"/>
              <w:right w:val="single" w:sz="8" w:space="0" w:color="auto"/>
            </w:tcBorders>
            <w:shd w:val="clear" w:color="auto" w:fill="auto"/>
            <w:noWrap/>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4,019</w:t>
            </w:r>
          </w:p>
        </w:tc>
        <w:tc>
          <w:tcPr>
            <w:tcW w:w="960" w:type="dxa"/>
            <w:tcBorders>
              <w:top w:val="nil"/>
              <w:left w:val="nil"/>
              <w:bottom w:val="single" w:sz="8" w:space="0" w:color="auto"/>
              <w:right w:val="single" w:sz="8" w:space="0" w:color="auto"/>
            </w:tcBorders>
            <w:vAlign w:val="center"/>
          </w:tcPr>
          <w:p w:rsidR="00AF234B" w:rsidRPr="00E96392" w:rsidRDefault="00E74A31" w:rsidP="003C7B02">
            <w:pPr>
              <w:jc w:val="right"/>
              <w:rPr>
                <w:rFonts w:cs="Arial"/>
                <w:color w:val="000000"/>
                <w:sz w:val="22"/>
                <w:szCs w:val="22"/>
                <w:lang w:eastAsia="en-GB"/>
              </w:rPr>
            </w:pPr>
            <w:r>
              <w:rPr>
                <w:rFonts w:cs="Arial"/>
                <w:color w:val="000000"/>
                <w:sz w:val="22"/>
                <w:szCs w:val="22"/>
                <w:lang w:eastAsia="en-GB"/>
              </w:rPr>
              <w:t>5,341</w:t>
            </w:r>
          </w:p>
        </w:tc>
      </w:tr>
      <w:tr w:rsidR="00AF234B" w:rsidRPr="00EA69AE" w:rsidTr="003C7B02">
        <w:trPr>
          <w:trHeight w:val="315"/>
        </w:trPr>
        <w:tc>
          <w:tcPr>
            <w:tcW w:w="4500" w:type="dxa"/>
            <w:tcBorders>
              <w:top w:val="nil"/>
              <w:left w:val="single" w:sz="8" w:space="0" w:color="auto"/>
              <w:bottom w:val="single" w:sz="8" w:space="0" w:color="auto"/>
              <w:right w:val="single" w:sz="8" w:space="0" w:color="auto"/>
            </w:tcBorders>
            <w:shd w:val="clear" w:color="auto" w:fill="auto"/>
            <w:noWrap/>
            <w:vAlign w:val="center"/>
            <w:hideMark/>
          </w:tcPr>
          <w:p w:rsidR="00AF234B" w:rsidRPr="00E96392" w:rsidRDefault="00AF234B" w:rsidP="001D4F05">
            <w:pPr>
              <w:rPr>
                <w:rFonts w:cs="Arial"/>
                <w:color w:val="000000"/>
                <w:sz w:val="22"/>
                <w:szCs w:val="22"/>
                <w:lang w:eastAsia="en-GB"/>
              </w:rPr>
            </w:pPr>
            <w:r w:rsidRPr="00E96392">
              <w:rPr>
                <w:rFonts w:cs="Arial"/>
                <w:color w:val="000000"/>
                <w:sz w:val="22"/>
                <w:szCs w:val="22"/>
                <w:lang w:eastAsia="en-GB"/>
              </w:rPr>
              <w:t> </w:t>
            </w:r>
          </w:p>
        </w:tc>
        <w:tc>
          <w:tcPr>
            <w:tcW w:w="953" w:type="dxa"/>
            <w:tcBorders>
              <w:top w:val="nil"/>
              <w:left w:val="nil"/>
              <w:bottom w:val="single" w:sz="8" w:space="0" w:color="auto"/>
              <w:right w:val="single" w:sz="8" w:space="0" w:color="auto"/>
            </w:tcBorders>
            <w:shd w:val="clear" w:color="auto" w:fill="auto"/>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 </w:t>
            </w:r>
          </w:p>
        </w:tc>
        <w:tc>
          <w:tcPr>
            <w:tcW w:w="967" w:type="dxa"/>
            <w:tcBorders>
              <w:top w:val="nil"/>
              <w:left w:val="nil"/>
              <w:bottom w:val="single" w:sz="8" w:space="0" w:color="auto"/>
              <w:right w:val="single" w:sz="8" w:space="0" w:color="auto"/>
            </w:tcBorders>
            <w:shd w:val="clear" w:color="auto" w:fill="auto"/>
            <w:noWrap/>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 </w:t>
            </w:r>
          </w:p>
        </w:tc>
        <w:tc>
          <w:tcPr>
            <w:tcW w:w="960" w:type="dxa"/>
            <w:tcBorders>
              <w:top w:val="nil"/>
              <w:left w:val="nil"/>
              <w:bottom w:val="single" w:sz="8" w:space="0" w:color="auto"/>
              <w:right w:val="single" w:sz="8" w:space="0" w:color="auto"/>
            </w:tcBorders>
            <w:shd w:val="clear" w:color="auto" w:fill="auto"/>
            <w:noWrap/>
            <w:vAlign w:val="center"/>
            <w:hideMark/>
          </w:tcPr>
          <w:p w:rsidR="00AF234B" w:rsidRPr="00E96392" w:rsidRDefault="00AF234B" w:rsidP="003C7B02">
            <w:pPr>
              <w:jc w:val="right"/>
              <w:rPr>
                <w:rFonts w:cs="Arial"/>
                <w:color w:val="000000"/>
                <w:sz w:val="22"/>
                <w:szCs w:val="22"/>
                <w:lang w:eastAsia="en-GB"/>
              </w:rPr>
            </w:pPr>
            <w:r w:rsidRPr="00E96392">
              <w:rPr>
                <w:rFonts w:cs="Arial"/>
                <w:color w:val="000000"/>
                <w:sz w:val="22"/>
                <w:szCs w:val="22"/>
                <w:lang w:eastAsia="en-GB"/>
              </w:rPr>
              <w:t> </w:t>
            </w:r>
          </w:p>
        </w:tc>
        <w:tc>
          <w:tcPr>
            <w:tcW w:w="960" w:type="dxa"/>
            <w:tcBorders>
              <w:top w:val="nil"/>
              <w:left w:val="nil"/>
              <w:bottom w:val="single" w:sz="8" w:space="0" w:color="auto"/>
              <w:right w:val="single" w:sz="8" w:space="0" w:color="auto"/>
            </w:tcBorders>
            <w:vAlign w:val="center"/>
          </w:tcPr>
          <w:p w:rsidR="00AF234B" w:rsidRPr="00E96392" w:rsidRDefault="00AF234B" w:rsidP="003C7B02">
            <w:pPr>
              <w:jc w:val="right"/>
              <w:rPr>
                <w:rFonts w:cs="Arial"/>
                <w:color w:val="000000"/>
                <w:sz w:val="22"/>
                <w:szCs w:val="22"/>
                <w:lang w:eastAsia="en-GB"/>
              </w:rPr>
            </w:pPr>
          </w:p>
        </w:tc>
      </w:tr>
      <w:tr w:rsidR="00AF234B" w:rsidRPr="003C7B02" w:rsidTr="003C7B02">
        <w:trPr>
          <w:trHeight w:val="300"/>
        </w:trPr>
        <w:tc>
          <w:tcPr>
            <w:tcW w:w="450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F234B" w:rsidRPr="003C7B02" w:rsidRDefault="00AF234B" w:rsidP="001D4F05">
            <w:pPr>
              <w:rPr>
                <w:rFonts w:cs="Arial"/>
                <w:b/>
                <w:color w:val="000000"/>
                <w:sz w:val="22"/>
                <w:szCs w:val="22"/>
                <w:lang w:eastAsia="en-GB"/>
              </w:rPr>
            </w:pPr>
            <w:r w:rsidRPr="003C7B02">
              <w:rPr>
                <w:rFonts w:cs="Arial"/>
                <w:b/>
                <w:color w:val="000000"/>
                <w:sz w:val="22"/>
                <w:szCs w:val="22"/>
                <w:lang w:eastAsia="en-GB"/>
              </w:rPr>
              <w:t>Total Spend</w:t>
            </w:r>
          </w:p>
        </w:tc>
        <w:tc>
          <w:tcPr>
            <w:tcW w:w="953" w:type="dxa"/>
            <w:tcBorders>
              <w:top w:val="single" w:sz="8" w:space="0" w:color="auto"/>
              <w:left w:val="nil"/>
              <w:bottom w:val="single" w:sz="4" w:space="0" w:color="auto"/>
              <w:right w:val="single" w:sz="8" w:space="0" w:color="auto"/>
            </w:tcBorders>
            <w:shd w:val="clear" w:color="auto" w:fill="auto"/>
            <w:vAlign w:val="center"/>
            <w:hideMark/>
          </w:tcPr>
          <w:p w:rsidR="00AF234B" w:rsidRPr="003C7B02" w:rsidRDefault="00AF234B" w:rsidP="003C7B02">
            <w:pPr>
              <w:jc w:val="right"/>
              <w:rPr>
                <w:rFonts w:cs="Arial"/>
                <w:b/>
                <w:color w:val="000000"/>
                <w:sz w:val="22"/>
                <w:szCs w:val="22"/>
                <w:lang w:eastAsia="en-GB"/>
              </w:rPr>
            </w:pPr>
            <w:r w:rsidRPr="003C7B02">
              <w:rPr>
                <w:rFonts w:cs="Arial"/>
                <w:b/>
                <w:color w:val="000000"/>
                <w:sz w:val="22"/>
                <w:szCs w:val="22"/>
                <w:lang w:eastAsia="en-GB"/>
              </w:rPr>
              <w:t>19,943</w:t>
            </w:r>
          </w:p>
        </w:tc>
        <w:tc>
          <w:tcPr>
            <w:tcW w:w="967" w:type="dxa"/>
            <w:tcBorders>
              <w:top w:val="single" w:sz="8" w:space="0" w:color="auto"/>
              <w:left w:val="nil"/>
              <w:bottom w:val="single" w:sz="4" w:space="0" w:color="auto"/>
              <w:right w:val="single" w:sz="8" w:space="0" w:color="auto"/>
            </w:tcBorders>
            <w:shd w:val="clear" w:color="auto" w:fill="auto"/>
            <w:noWrap/>
            <w:vAlign w:val="center"/>
            <w:hideMark/>
          </w:tcPr>
          <w:p w:rsidR="00AF234B" w:rsidRPr="003C7B02" w:rsidRDefault="00AF234B" w:rsidP="003C7B02">
            <w:pPr>
              <w:jc w:val="right"/>
              <w:rPr>
                <w:rFonts w:cs="Arial"/>
                <w:b/>
                <w:color w:val="000000"/>
                <w:sz w:val="22"/>
                <w:szCs w:val="22"/>
                <w:lang w:eastAsia="en-GB"/>
              </w:rPr>
            </w:pPr>
            <w:r w:rsidRPr="003C7B02">
              <w:rPr>
                <w:rFonts w:cs="Arial"/>
                <w:b/>
                <w:color w:val="000000"/>
                <w:sz w:val="22"/>
                <w:szCs w:val="22"/>
                <w:lang w:eastAsia="en-GB"/>
              </w:rPr>
              <w:t>20,787</w:t>
            </w:r>
          </w:p>
        </w:tc>
        <w:tc>
          <w:tcPr>
            <w:tcW w:w="960" w:type="dxa"/>
            <w:tcBorders>
              <w:top w:val="single" w:sz="8" w:space="0" w:color="auto"/>
              <w:left w:val="nil"/>
              <w:bottom w:val="single" w:sz="4" w:space="0" w:color="auto"/>
              <w:right w:val="single" w:sz="8" w:space="0" w:color="auto"/>
            </w:tcBorders>
            <w:shd w:val="clear" w:color="auto" w:fill="auto"/>
            <w:noWrap/>
            <w:vAlign w:val="center"/>
            <w:hideMark/>
          </w:tcPr>
          <w:p w:rsidR="00AF234B" w:rsidRPr="003C7B02" w:rsidRDefault="00AF234B" w:rsidP="003C7B02">
            <w:pPr>
              <w:jc w:val="right"/>
              <w:rPr>
                <w:rFonts w:cs="Arial"/>
                <w:b/>
                <w:color w:val="000000"/>
                <w:sz w:val="22"/>
                <w:szCs w:val="22"/>
                <w:lang w:eastAsia="en-GB"/>
              </w:rPr>
            </w:pPr>
            <w:r w:rsidRPr="003C7B02">
              <w:rPr>
                <w:rFonts w:cs="Arial"/>
                <w:b/>
                <w:color w:val="000000"/>
                <w:sz w:val="22"/>
                <w:szCs w:val="22"/>
                <w:lang w:eastAsia="en-GB"/>
              </w:rPr>
              <w:t>23,986</w:t>
            </w:r>
          </w:p>
        </w:tc>
        <w:tc>
          <w:tcPr>
            <w:tcW w:w="960" w:type="dxa"/>
            <w:tcBorders>
              <w:top w:val="single" w:sz="8" w:space="0" w:color="auto"/>
              <w:left w:val="nil"/>
              <w:bottom w:val="single" w:sz="4" w:space="0" w:color="auto"/>
              <w:right w:val="single" w:sz="8" w:space="0" w:color="auto"/>
            </w:tcBorders>
            <w:vAlign w:val="center"/>
          </w:tcPr>
          <w:p w:rsidR="00AF234B" w:rsidRPr="003C7B02" w:rsidRDefault="00AF234B" w:rsidP="003C7B02">
            <w:pPr>
              <w:jc w:val="right"/>
              <w:rPr>
                <w:rFonts w:cs="Arial"/>
                <w:b/>
                <w:color w:val="000000"/>
                <w:sz w:val="22"/>
                <w:szCs w:val="22"/>
                <w:lang w:eastAsia="en-GB"/>
              </w:rPr>
            </w:pPr>
            <w:r w:rsidRPr="003C7B02">
              <w:rPr>
                <w:rFonts w:cs="Arial"/>
                <w:b/>
                <w:color w:val="000000"/>
                <w:sz w:val="22"/>
                <w:szCs w:val="22"/>
                <w:lang w:eastAsia="en-GB"/>
              </w:rPr>
              <w:t>25,</w:t>
            </w:r>
            <w:r w:rsidR="00E74A31" w:rsidRPr="003C7B02">
              <w:rPr>
                <w:rFonts w:cs="Arial"/>
                <w:b/>
                <w:color w:val="000000"/>
                <w:sz w:val="22"/>
                <w:szCs w:val="22"/>
                <w:lang w:eastAsia="en-GB"/>
              </w:rPr>
              <w:t>660</w:t>
            </w:r>
          </w:p>
        </w:tc>
      </w:tr>
    </w:tbl>
    <w:p w:rsidR="00AF234B" w:rsidRDefault="00AF234B" w:rsidP="00AF234B"/>
    <w:p w:rsidR="00AF234B" w:rsidRDefault="00AF234B" w:rsidP="00AF234B"/>
    <w:p w:rsidR="00AF234B" w:rsidRPr="00490CEF" w:rsidRDefault="00AF234B" w:rsidP="00AF234B">
      <w:pPr>
        <w:rPr>
          <w:i/>
        </w:rPr>
      </w:pPr>
      <w:r w:rsidRPr="00490CEF">
        <w:rPr>
          <w:i/>
        </w:rPr>
        <w:lastRenderedPageBreak/>
        <w:t>National Public Health Grant Reductions</w:t>
      </w:r>
    </w:p>
    <w:p w:rsidR="00AF234B" w:rsidRDefault="00AF234B" w:rsidP="00AF234B"/>
    <w:p w:rsidR="00AF234B" w:rsidRPr="00C63EEE" w:rsidRDefault="00AF234B" w:rsidP="00A61629">
      <w:pPr>
        <w:spacing w:after="200" w:line="276" w:lineRule="auto"/>
        <w:jc w:val="both"/>
        <w:rPr>
          <w:sz w:val="22"/>
        </w:rPr>
      </w:pPr>
      <w:r w:rsidRPr="00C63EEE">
        <w:rPr>
          <w:sz w:val="22"/>
        </w:rPr>
        <w:t>On 4</w:t>
      </w:r>
      <w:r w:rsidRPr="00C63EEE">
        <w:rPr>
          <w:sz w:val="22"/>
          <w:vertAlign w:val="superscript"/>
        </w:rPr>
        <w:t xml:space="preserve">th </w:t>
      </w:r>
      <w:r w:rsidRPr="00C63EEE">
        <w:rPr>
          <w:sz w:val="22"/>
        </w:rPr>
        <w:t>June 2015 the chancellor announced a £200m reduction in non-NHS Department of Health spending, which was translated into an in-year reduction in the Local Authority public health grants.  The 2015/16 in year cut for Doncaster was confirmed at £1.464m or 6.2% (Letter from DOH 4th November 2015).</w:t>
      </w:r>
    </w:p>
    <w:p w:rsidR="00AF234B" w:rsidRPr="00C63EEE" w:rsidRDefault="00AF234B" w:rsidP="00A61629">
      <w:pPr>
        <w:spacing w:after="200" w:line="276" w:lineRule="auto"/>
        <w:jc w:val="both"/>
        <w:rPr>
          <w:sz w:val="22"/>
        </w:rPr>
      </w:pPr>
      <w:r w:rsidRPr="00C63EEE">
        <w:rPr>
          <w:sz w:val="22"/>
        </w:rPr>
        <w:t xml:space="preserve">The Comprehensive Spending Review (CSR) on 25th November 2015 also announced a further reduction in the size of the public health grant. At a national level this is an average real terms saving of 3.9% each year to 2020/21. This is based on a revised baseline that makes the 2015/16 in-year cut a recurrent saving. This is a cash reduction of 9.6% over that period and at a national level this was phased at 2.2% in 2016/17, 2.5% in 17/18, </w:t>
      </w:r>
      <w:proofErr w:type="gramStart"/>
      <w:r w:rsidRPr="00C63EEE">
        <w:rPr>
          <w:sz w:val="22"/>
        </w:rPr>
        <w:t>2.6</w:t>
      </w:r>
      <w:proofErr w:type="gramEnd"/>
      <w:r w:rsidRPr="00C63EEE">
        <w:rPr>
          <w:sz w:val="22"/>
        </w:rPr>
        <w:t>% in the following 2 years and flat cash in 2020/21. The 2015/16 reduction amounted to £1.463m, a 16/17 reduction of £0.576m, 17/18 £0.618m and 18/19 an assumed reduction of £0.635m and predicted in 19/20 a further reduction of £0.618m</w:t>
      </w:r>
    </w:p>
    <w:p w:rsidR="00AF234B" w:rsidRPr="00C63EEE" w:rsidRDefault="00AF234B" w:rsidP="00A61629">
      <w:pPr>
        <w:spacing w:after="200" w:line="276" w:lineRule="auto"/>
        <w:jc w:val="both"/>
        <w:rPr>
          <w:sz w:val="22"/>
        </w:rPr>
      </w:pPr>
      <w:r w:rsidRPr="00C63EEE">
        <w:rPr>
          <w:sz w:val="22"/>
        </w:rPr>
        <w:t>There have been no decisions about when a revised funding formula and a ‘pace of change’ adjustment might be brought in. In addition, the spending review has committed to retain the public health grant for 2016/17 and 2017/18, and from 2018/19 the public health grant will be replaced by a model based on retained business rates. Doncaster through the Sheffield City Region has agreed to pilot what this would mean in 2017/18. Finally no further information was provided about the health premium incentive scheme.</w:t>
      </w:r>
    </w:p>
    <w:p w:rsidR="00AF234B" w:rsidRPr="00C63EEE" w:rsidRDefault="00AF234B" w:rsidP="00A61629">
      <w:pPr>
        <w:spacing w:after="200" w:line="276" w:lineRule="auto"/>
        <w:jc w:val="both"/>
        <w:rPr>
          <w:sz w:val="22"/>
        </w:rPr>
      </w:pPr>
      <w:r w:rsidRPr="00C63EEE">
        <w:rPr>
          <w:sz w:val="22"/>
        </w:rPr>
        <w:t xml:space="preserve">As a response to the 2015 in-year reduction a set of savings proposals were identified but a budget shortfall of £2.109m was predicted for 2016/17.This was subsequently addressed through a set of low risk and high risk proposals. The budget saving was made but there are now no tier 2 weight management services in the borough, still no public mental health services, and no </w:t>
      </w:r>
      <w:proofErr w:type="spellStart"/>
      <w:r w:rsidRPr="00C63EEE">
        <w:rPr>
          <w:sz w:val="22"/>
        </w:rPr>
        <w:t>specialised</w:t>
      </w:r>
      <w:proofErr w:type="spellEnd"/>
      <w:r w:rsidRPr="00C63EEE">
        <w:rPr>
          <w:sz w:val="22"/>
        </w:rPr>
        <w:t xml:space="preserve"> oral health promotion services. The growth funding and wider determinants funding was untouched by the in-year reduction but the staffing level of the public health function was reduced by 25%. Some of the savings proposals were not able to be implemented due to </w:t>
      </w:r>
      <w:proofErr w:type="spellStart"/>
      <w:r w:rsidR="00F95D38" w:rsidRPr="00F95D38">
        <w:rPr>
          <w:sz w:val="22"/>
        </w:rPr>
        <w:t>to</w:t>
      </w:r>
      <w:proofErr w:type="spellEnd"/>
      <w:r w:rsidR="00F95D38" w:rsidRPr="00F95D38">
        <w:rPr>
          <w:sz w:val="22"/>
        </w:rPr>
        <w:t xml:space="preserve"> a range of reasons including the practicalities of service changes </w:t>
      </w:r>
      <w:r w:rsidRPr="00C63EEE">
        <w:rPr>
          <w:sz w:val="22"/>
        </w:rPr>
        <w:t>e.g. substance misuse in Mexborough, sexual health ‘spokes’, others took longer than anticipated to release savings as services needed to ‘wind down’ and ensure those people using the services were effectively discharged and other savings although made had to be reinstated as the lack of funding and service created a major risk for the Borough e.g. infection control.</w:t>
      </w:r>
    </w:p>
    <w:p w:rsidR="00700680" w:rsidRPr="00E96392" w:rsidRDefault="00AF234B" w:rsidP="00A61629">
      <w:pPr>
        <w:spacing w:after="200" w:line="276" w:lineRule="auto"/>
        <w:jc w:val="both"/>
        <w:rPr>
          <w:sz w:val="22"/>
        </w:rPr>
      </w:pPr>
      <w:r w:rsidRPr="00C63EEE">
        <w:rPr>
          <w:sz w:val="22"/>
        </w:rPr>
        <w:t>To date the 2016/17 position for the public health grant is a balanced position but this has required a higher use of reserves from the public health grant than anticipated (</w:t>
      </w:r>
      <w:r w:rsidR="00A72B9E">
        <w:rPr>
          <w:sz w:val="22"/>
        </w:rPr>
        <w:t>£</w:t>
      </w:r>
      <w:r w:rsidR="00A72B9E">
        <w:rPr>
          <w:rFonts w:cs="Arial"/>
          <w:sz w:val="22"/>
          <w:szCs w:val="22"/>
        </w:rPr>
        <w:t>261k</w:t>
      </w:r>
      <w:r w:rsidRPr="00C63EEE">
        <w:rPr>
          <w:sz w:val="22"/>
        </w:rPr>
        <w:t>). The use of reserves was appropriate as budget reductions are built into future reductions in contract values.</w:t>
      </w:r>
    </w:p>
    <w:p w:rsidR="00771C0C" w:rsidRPr="00B63752" w:rsidRDefault="00EF3D98" w:rsidP="007479C3">
      <w:pPr>
        <w:pStyle w:val="Heading1"/>
        <w:keepLines/>
        <w:numPr>
          <w:ilvl w:val="0"/>
          <w:numId w:val="2"/>
        </w:numPr>
        <w:overflowPunct/>
        <w:autoSpaceDE/>
        <w:autoSpaceDN/>
        <w:adjustRightInd/>
        <w:spacing w:before="200" w:line="276" w:lineRule="auto"/>
        <w:textAlignment w:val="auto"/>
        <w:rPr>
          <w:rFonts w:cs="Arial"/>
          <w:sz w:val="22"/>
          <w:szCs w:val="22"/>
        </w:rPr>
      </w:pPr>
      <w:bookmarkStart w:id="5" w:name="_Toc483994443"/>
      <w:r w:rsidRPr="00EF3D98">
        <w:t>Developing the Commissioning Strategy:</w:t>
      </w:r>
      <w:bookmarkEnd w:id="5"/>
      <w:r w:rsidR="00B63752">
        <w:br/>
      </w:r>
    </w:p>
    <w:p w:rsidR="00771C0C" w:rsidRDefault="00EF0B1B" w:rsidP="00A61629">
      <w:pPr>
        <w:spacing w:after="200" w:line="276" w:lineRule="auto"/>
        <w:jc w:val="both"/>
        <w:rPr>
          <w:sz w:val="22"/>
          <w:szCs w:val="22"/>
        </w:rPr>
      </w:pPr>
      <w:r w:rsidRPr="003618A0">
        <w:rPr>
          <w:sz w:val="22"/>
          <w:szCs w:val="22"/>
        </w:rPr>
        <w:t xml:space="preserve">This strategy has been developed in keeping with the </w:t>
      </w:r>
      <w:r w:rsidR="00E44DAF">
        <w:rPr>
          <w:sz w:val="22"/>
          <w:szCs w:val="22"/>
        </w:rPr>
        <w:t>11</w:t>
      </w:r>
      <w:r w:rsidRPr="003618A0">
        <w:rPr>
          <w:sz w:val="22"/>
          <w:szCs w:val="22"/>
        </w:rPr>
        <w:t xml:space="preserve"> principles outlined in the corporate commissioning and procurement strategy.</w:t>
      </w:r>
      <w:r w:rsidR="009A5EBE">
        <w:rPr>
          <w:sz w:val="22"/>
          <w:szCs w:val="22"/>
        </w:rPr>
        <w:t xml:space="preserve"> The principles underpin the Doncaster strategic commissioning cycle</w:t>
      </w:r>
      <w:r w:rsidR="00341D2C">
        <w:rPr>
          <w:sz w:val="22"/>
          <w:szCs w:val="22"/>
        </w:rPr>
        <w:t xml:space="preserve"> (Figure 1)</w:t>
      </w:r>
      <w:r w:rsidR="009A5EBE">
        <w:rPr>
          <w:sz w:val="22"/>
          <w:szCs w:val="22"/>
        </w:rPr>
        <w:t>.</w:t>
      </w:r>
    </w:p>
    <w:p w:rsidR="00A20381" w:rsidRDefault="0012170A" w:rsidP="00A61629">
      <w:pPr>
        <w:spacing w:after="200" w:line="276" w:lineRule="auto"/>
        <w:jc w:val="both"/>
        <w:rPr>
          <w:sz w:val="22"/>
          <w:szCs w:val="22"/>
        </w:rPr>
      </w:pPr>
      <w:r>
        <w:rPr>
          <w:sz w:val="22"/>
          <w:szCs w:val="22"/>
        </w:rPr>
        <w:lastRenderedPageBreak/>
        <w:t xml:space="preserve">The </w:t>
      </w:r>
      <w:r w:rsidR="004B2AC1">
        <w:rPr>
          <w:sz w:val="22"/>
          <w:szCs w:val="22"/>
        </w:rPr>
        <w:t>majority</w:t>
      </w:r>
      <w:r>
        <w:rPr>
          <w:sz w:val="22"/>
          <w:szCs w:val="22"/>
        </w:rPr>
        <w:t xml:space="preserve"> of the </w:t>
      </w:r>
      <w:r w:rsidR="004B2AC1">
        <w:rPr>
          <w:sz w:val="22"/>
          <w:szCs w:val="22"/>
        </w:rPr>
        <w:t>commissioning</w:t>
      </w:r>
      <w:r>
        <w:rPr>
          <w:sz w:val="22"/>
          <w:szCs w:val="22"/>
        </w:rPr>
        <w:t xml:space="preserve"> activity described in this </w:t>
      </w:r>
      <w:r w:rsidR="004B2AC1">
        <w:rPr>
          <w:sz w:val="22"/>
          <w:szCs w:val="22"/>
        </w:rPr>
        <w:t>document</w:t>
      </w:r>
      <w:r>
        <w:rPr>
          <w:sz w:val="22"/>
          <w:szCs w:val="22"/>
        </w:rPr>
        <w:t xml:space="preserve"> </w:t>
      </w:r>
      <w:r w:rsidR="004B2AC1">
        <w:rPr>
          <w:sz w:val="22"/>
          <w:szCs w:val="22"/>
        </w:rPr>
        <w:t>occurs</w:t>
      </w:r>
      <w:r>
        <w:rPr>
          <w:sz w:val="22"/>
          <w:szCs w:val="22"/>
        </w:rPr>
        <w:t xml:space="preserve"> at the level of the </w:t>
      </w:r>
      <w:r w:rsidR="004B2AC1">
        <w:rPr>
          <w:sz w:val="22"/>
          <w:szCs w:val="22"/>
        </w:rPr>
        <w:t>Doncaster</w:t>
      </w:r>
      <w:r>
        <w:rPr>
          <w:sz w:val="22"/>
          <w:szCs w:val="22"/>
        </w:rPr>
        <w:t xml:space="preserve"> population. </w:t>
      </w:r>
    </w:p>
    <w:p w:rsidR="009A5EBE" w:rsidRDefault="009A5EBE" w:rsidP="003618A0">
      <w:pPr>
        <w:rPr>
          <w:sz w:val="22"/>
          <w:szCs w:val="22"/>
        </w:rPr>
      </w:pPr>
    </w:p>
    <w:p w:rsidR="00341D2C" w:rsidRDefault="00341D2C" w:rsidP="003618A0">
      <w:pPr>
        <w:rPr>
          <w:sz w:val="22"/>
          <w:szCs w:val="22"/>
        </w:rPr>
      </w:pPr>
      <w:r w:rsidRPr="00DF7680">
        <w:rPr>
          <w:b/>
          <w:sz w:val="22"/>
          <w:szCs w:val="22"/>
        </w:rPr>
        <w:t>Figure 1:</w:t>
      </w:r>
      <w:r>
        <w:rPr>
          <w:sz w:val="22"/>
          <w:szCs w:val="22"/>
        </w:rPr>
        <w:t xml:space="preserve"> Doncaster strategic commissioning cycle.</w:t>
      </w:r>
    </w:p>
    <w:p w:rsidR="00341D2C" w:rsidRDefault="00341D2C" w:rsidP="003618A0">
      <w:pPr>
        <w:rPr>
          <w:sz w:val="22"/>
          <w:szCs w:val="22"/>
        </w:rPr>
      </w:pPr>
    </w:p>
    <w:p w:rsidR="009A5EBE" w:rsidRPr="003618A0" w:rsidRDefault="00626BC6" w:rsidP="003618A0">
      <w:pPr>
        <w:rPr>
          <w:rFonts w:cs="Arial"/>
          <w:bCs/>
          <w:sz w:val="22"/>
          <w:szCs w:val="22"/>
        </w:rPr>
      </w:pPr>
      <w:r>
        <w:rPr>
          <w:noProof/>
          <w:lang w:val="en-GB" w:eastAsia="en-GB"/>
        </w:rPr>
        <w:drawing>
          <wp:inline distT="0" distB="0" distL="0" distR="0" wp14:anchorId="4F56140F" wp14:editId="344C5665">
            <wp:extent cx="4811400" cy="4870466"/>
            <wp:effectExtent l="0" t="0" r="8255" b="635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l="16640" t="25040" r="40340" b="20476"/>
                    <a:stretch>
                      <a:fillRect/>
                    </a:stretch>
                  </pic:blipFill>
                  <pic:spPr bwMode="auto">
                    <a:xfrm>
                      <a:off x="0" y="0"/>
                      <a:ext cx="4813088" cy="4872175"/>
                    </a:xfrm>
                    <a:prstGeom prst="rect">
                      <a:avLst/>
                    </a:prstGeom>
                    <a:noFill/>
                    <a:ln>
                      <a:noFill/>
                    </a:ln>
                  </pic:spPr>
                </pic:pic>
              </a:graphicData>
            </a:graphic>
          </wp:inline>
        </w:drawing>
      </w:r>
    </w:p>
    <w:p w:rsidR="00EF0B1B" w:rsidRDefault="00EF0B1B" w:rsidP="00EF3D98">
      <w:pPr>
        <w:keepNext/>
        <w:keepLines/>
        <w:overflowPunct/>
        <w:autoSpaceDE/>
        <w:autoSpaceDN/>
        <w:adjustRightInd/>
        <w:spacing w:before="200" w:line="276" w:lineRule="auto"/>
        <w:textAlignment w:val="auto"/>
        <w:outlineLvl w:val="1"/>
        <w:rPr>
          <w:rFonts w:cs="Arial"/>
          <w:bCs/>
          <w:sz w:val="22"/>
          <w:szCs w:val="22"/>
        </w:rPr>
      </w:pPr>
    </w:p>
    <w:p w:rsidR="003509B1" w:rsidRDefault="00341D2C" w:rsidP="001D4F05">
      <w:pPr>
        <w:pStyle w:val="Heading2"/>
      </w:pPr>
      <w:bookmarkStart w:id="6" w:name="_Toc483994444"/>
      <w:r>
        <w:t>2.1</w:t>
      </w:r>
      <w:r>
        <w:tab/>
      </w:r>
      <w:r w:rsidR="003509B1">
        <w:t>Principle 1:</w:t>
      </w:r>
      <w:r w:rsidR="003509B1" w:rsidRPr="00EF3D98">
        <w:t xml:space="preserve"> </w:t>
      </w:r>
      <w:r w:rsidR="003509B1">
        <w:t>Commissioning for Outcomes</w:t>
      </w:r>
      <w:bookmarkEnd w:id="6"/>
    </w:p>
    <w:p w:rsidR="003509B1" w:rsidRDefault="003509B1" w:rsidP="001D4F05">
      <w:pPr>
        <w:overflowPunct/>
        <w:autoSpaceDE/>
        <w:autoSpaceDN/>
        <w:adjustRightInd/>
        <w:spacing w:after="200"/>
        <w:ind w:left="180"/>
        <w:textAlignment w:val="auto"/>
        <w:rPr>
          <w:rFonts w:eastAsia="Calibri" w:cs="Arial"/>
          <w:sz w:val="22"/>
          <w:szCs w:val="22"/>
          <w:lang w:val="en-GB"/>
        </w:rPr>
      </w:pPr>
    </w:p>
    <w:p w:rsidR="003509B1" w:rsidRPr="00E81803" w:rsidRDefault="003509B1" w:rsidP="00A61629">
      <w:pPr>
        <w:overflowPunct/>
        <w:autoSpaceDE/>
        <w:autoSpaceDN/>
        <w:adjustRightInd/>
        <w:spacing w:after="200" w:line="276" w:lineRule="auto"/>
        <w:ind w:left="181"/>
        <w:jc w:val="both"/>
        <w:textAlignment w:val="auto"/>
        <w:rPr>
          <w:rFonts w:eastAsia="Calibri" w:cs="Arial"/>
          <w:sz w:val="22"/>
          <w:szCs w:val="22"/>
        </w:rPr>
      </w:pPr>
      <w:r w:rsidRPr="00E81803">
        <w:rPr>
          <w:rFonts w:eastAsia="Calibri" w:cs="Arial"/>
          <w:sz w:val="22"/>
          <w:szCs w:val="22"/>
        </w:rPr>
        <w:t xml:space="preserve">The Public Health </w:t>
      </w:r>
      <w:r w:rsidR="00E965E6">
        <w:rPr>
          <w:rFonts w:eastAsia="Calibri" w:cs="Arial"/>
          <w:sz w:val="22"/>
          <w:szCs w:val="22"/>
        </w:rPr>
        <w:t>t</w:t>
      </w:r>
      <w:r w:rsidR="00DB3E5A">
        <w:rPr>
          <w:rFonts w:eastAsia="Calibri" w:cs="Arial"/>
          <w:sz w:val="22"/>
          <w:szCs w:val="22"/>
        </w:rPr>
        <w:t>eam</w:t>
      </w:r>
      <w:r w:rsidR="00DB3E5A" w:rsidRPr="00E81803">
        <w:rPr>
          <w:rFonts w:eastAsia="Calibri" w:cs="Arial"/>
          <w:sz w:val="22"/>
          <w:szCs w:val="22"/>
        </w:rPr>
        <w:t xml:space="preserve"> </w:t>
      </w:r>
      <w:r w:rsidR="005B1D2B">
        <w:rPr>
          <w:rFonts w:eastAsia="Calibri" w:cs="Arial"/>
          <w:sz w:val="22"/>
          <w:szCs w:val="22"/>
        </w:rPr>
        <w:t xml:space="preserve">aims </w:t>
      </w:r>
      <w:r w:rsidR="00DB3E5A">
        <w:rPr>
          <w:rFonts w:eastAsia="Calibri" w:cs="Arial"/>
          <w:sz w:val="22"/>
          <w:szCs w:val="22"/>
        </w:rPr>
        <w:t xml:space="preserve">to </w:t>
      </w:r>
      <w:r w:rsidRPr="00E81803">
        <w:rPr>
          <w:rFonts w:eastAsia="Calibri" w:cs="Arial"/>
          <w:sz w:val="22"/>
          <w:szCs w:val="22"/>
        </w:rPr>
        <w:t>commission for outcomes</w:t>
      </w:r>
      <w:r>
        <w:rPr>
          <w:rFonts w:eastAsia="Calibri" w:cs="Arial"/>
          <w:sz w:val="22"/>
          <w:szCs w:val="22"/>
        </w:rPr>
        <w:t xml:space="preserve"> and quality </w:t>
      </w:r>
      <w:r w:rsidRPr="00E81803">
        <w:rPr>
          <w:rFonts w:eastAsia="Calibri" w:cs="Arial"/>
          <w:sz w:val="22"/>
          <w:szCs w:val="22"/>
        </w:rPr>
        <w:t>as opposed to commissioning for inputs</w:t>
      </w:r>
      <w:r>
        <w:rPr>
          <w:rFonts w:eastAsia="Calibri" w:cs="Arial"/>
          <w:sz w:val="22"/>
          <w:szCs w:val="22"/>
        </w:rPr>
        <w:t xml:space="preserve"> or volume and price</w:t>
      </w:r>
      <w:r w:rsidRPr="00E81803">
        <w:rPr>
          <w:rFonts w:eastAsia="Calibri" w:cs="Arial"/>
          <w:sz w:val="22"/>
          <w:szCs w:val="22"/>
        </w:rPr>
        <w:t>. However, many services that were inherited from the NHS were commissioned for inputs (i.e. the number of staff), process</w:t>
      </w:r>
      <w:r>
        <w:rPr>
          <w:rFonts w:eastAsia="Calibri" w:cs="Arial"/>
          <w:sz w:val="22"/>
          <w:szCs w:val="22"/>
        </w:rPr>
        <w:t>es (delivery models)</w:t>
      </w:r>
      <w:r w:rsidRPr="00E81803">
        <w:rPr>
          <w:rFonts w:eastAsia="Calibri" w:cs="Arial"/>
          <w:sz w:val="22"/>
          <w:szCs w:val="22"/>
        </w:rPr>
        <w:t xml:space="preserve">, </w:t>
      </w:r>
      <w:proofErr w:type="gramStart"/>
      <w:r w:rsidRPr="00E81803">
        <w:rPr>
          <w:rFonts w:eastAsia="Calibri" w:cs="Arial"/>
          <w:sz w:val="22"/>
          <w:szCs w:val="22"/>
        </w:rPr>
        <w:t>outputs</w:t>
      </w:r>
      <w:proofErr w:type="gramEnd"/>
      <w:r>
        <w:rPr>
          <w:rFonts w:eastAsia="Calibri" w:cs="Arial"/>
          <w:sz w:val="22"/>
          <w:szCs w:val="22"/>
        </w:rPr>
        <w:t xml:space="preserve"> (targets or indicators) </w:t>
      </w:r>
      <w:r w:rsidRPr="00E81803">
        <w:rPr>
          <w:rFonts w:eastAsia="Calibri" w:cs="Arial"/>
          <w:sz w:val="22"/>
          <w:szCs w:val="22"/>
        </w:rPr>
        <w:t>or were commissioned to meet system level outcomes that were out</w:t>
      </w:r>
      <w:r>
        <w:rPr>
          <w:rFonts w:eastAsia="Calibri" w:cs="Arial"/>
          <w:sz w:val="22"/>
          <w:szCs w:val="22"/>
        </w:rPr>
        <w:t xml:space="preserve">side </w:t>
      </w:r>
      <w:r w:rsidRPr="00E81803">
        <w:rPr>
          <w:rFonts w:eastAsia="Calibri" w:cs="Arial"/>
          <w:sz w:val="22"/>
          <w:szCs w:val="22"/>
        </w:rPr>
        <w:t>the gift of the individual service to deliver against.</w:t>
      </w:r>
    </w:p>
    <w:p w:rsidR="003509B1" w:rsidRPr="00CF3B34" w:rsidRDefault="003509B1" w:rsidP="00A61629">
      <w:pPr>
        <w:overflowPunct/>
        <w:autoSpaceDE/>
        <w:autoSpaceDN/>
        <w:adjustRightInd/>
        <w:spacing w:after="200" w:line="276" w:lineRule="auto"/>
        <w:ind w:left="181"/>
        <w:jc w:val="both"/>
        <w:textAlignment w:val="auto"/>
        <w:rPr>
          <w:rFonts w:eastAsia="Calibri" w:cs="Arial"/>
          <w:sz w:val="22"/>
          <w:szCs w:val="22"/>
          <w:highlight w:val="yellow"/>
          <w:lang w:val="en-GB"/>
        </w:rPr>
      </w:pPr>
      <w:r w:rsidRPr="00A20381">
        <w:rPr>
          <w:rFonts w:eastAsia="Calibri" w:cs="Arial"/>
          <w:sz w:val="22"/>
          <w:szCs w:val="22"/>
          <w:lang w:val="en-GB"/>
        </w:rPr>
        <w:t xml:space="preserve">Outcomes Based Commissioning requires an emphasis on ‘turning the curve’, identifying actions that will bring about change toward the desired results in terms of outcomes for populations and the performance of services. This relies on baselines, data, intelligence and insight, including the stories behind the baselines. It also involves forecasting the impact of specific interventions and makes effective use of simple population and </w:t>
      </w:r>
      <w:r w:rsidRPr="00A20381">
        <w:rPr>
          <w:rFonts w:eastAsia="Calibri" w:cs="Arial"/>
          <w:sz w:val="22"/>
          <w:szCs w:val="22"/>
          <w:lang w:val="en-GB"/>
        </w:rPr>
        <w:lastRenderedPageBreak/>
        <w:t xml:space="preserve">performance </w:t>
      </w:r>
      <w:r w:rsidRPr="003509B1">
        <w:rPr>
          <w:rFonts w:eastAsia="Calibri" w:cs="Arial"/>
          <w:sz w:val="22"/>
          <w:szCs w:val="22"/>
          <w:lang w:val="en-GB"/>
        </w:rPr>
        <w:t>information. Outcomes</w:t>
      </w:r>
      <w:r w:rsidRPr="00A20381">
        <w:rPr>
          <w:rFonts w:eastAsia="Calibri" w:cs="Arial"/>
          <w:sz w:val="22"/>
          <w:szCs w:val="22"/>
          <w:lang w:val="en-GB"/>
        </w:rPr>
        <w:t xml:space="preserve"> Based Accountability (OBA) is a useful tool for supporting outcomes-based commissioning. </w:t>
      </w:r>
    </w:p>
    <w:p w:rsidR="003509B1" w:rsidRDefault="003509B1" w:rsidP="00A61629">
      <w:pPr>
        <w:overflowPunct/>
        <w:autoSpaceDE/>
        <w:autoSpaceDN/>
        <w:adjustRightInd/>
        <w:spacing w:after="200" w:line="276" w:lineRule="auto"/>
        <w:ind w:left="181"/>
        <w:jc w:val="both"/>
        <w:textAlignment w:val="auto"/>
        <w:rPr>
          <w:rFonts w:eastAsia="Calibri" w:cs="Arial"/>
          <w:sz w:val="22"/>
          <w:szCs w:val="22"/>
          <w:lang w:val="en-GB"/>
        </w:rPr>
      </w:pPr>
      <w:r w:rsidRPr="00A20381">
        <w:rPr>
          <w:rFonts w:eastAsia="Calibri" w:cs="Arial"/>
          <w:sz w:val="22"/>
          <w:szCs w:val="22"/>
          <w:lang w:val="en-GB"/>
        </w:rPr>
        <w:t>All commissioning strategies associated with this framework will support the delivery of the high level population outcomes as set out in the Public Health Outcomes Framework.</w:t>
      </w:r>
    </w:p>
    <w:p w:rsidR="003509B1" w:rsidRPr="00A20381" w:rsidRDefault="003509B1" w:rsidP="001D4F05">
      <w:pPr>
        <w:overflowPunct/>
        <w:autoSpaceDE/>
        <w:autoSpaceDN/>
        <w:adjustRightInd/>
        <w:spacing w:after="200"/>
        <w:ind w:left="180"/>
        <w:textAlignment w:val="auto"/>
        <w:rPr>
          <w:rFonts w:eastAsia="Calibri" w:cs="Arial"/>
          <w:sz w:val="22"/>
          <w:szCs w:val="22"/>
          <w:lang w:val="en-GB"/>
        </w:rPr>
      </w:pPr>
    </w:p>
    <w:p w:rsidR="00EF3D98" w:rsidRPr="00EF3D98" w:rsidRDefault="00341D2C" w:rsidP="001D4F05">
      <w:pPr>
        <w:pStyle w:val="Heading2"/>
        <w:ind w:left="720" w:hanging="720"/>
      </w:pPr>
      <w:bookmarkStart w:id="7" w:name="_Toc483994445"/>
      <w:r>
        <w:t>2.2</w:t>
      </w:r>
      <w:r>
        <w:tab/>
      </w:r>
      <w:r w:rsidR="00771C0C">
        <w:t xml:space="preserve">Principle </w:t>
      </w:r>
      <w:r w:rsidR="003509B1">
        <w:t>2</w:t>
      </w:r>
      <w:r w:rsidR="00771C0C">
        <w:t>:</w:t>
      </w:r>
      <w:r w:rsidR="00EF3D98" w:rsidRPr="00EF3D98">
        <w:t xml:space="preserve"> Challenging existing and reviewing alternative service delivery models</w:t>
      </w:r>
      <w:bookmarkEnd w:id="7"/>
    </w:p>
    <w:p w:rsidR="00EF3D98" w:rsidRDefault="00EF3D98" w:rsidP="00A61629">
      <w:pPr>
        <w:overflowPunct/>
        <w:autoSpaceDE/>
        <w:autoSpaceDN/>
        <w:adjustRightInd/>
        <w:spacing w:after="200" w:line="276" w:lineRule="auto"/>
        <w:jc w:val="both"/>
        <w:textAlignment w:val="auto"/>
        <w:rPr>
          <w:rFonts w:eastAsia="Calibri" w:cs="Arial"/>
          <w:sz w:val="22"/>
          <w:szCs w:val="22"/>
          <w:lang w:val="en-GB"/>
        </w:rPr>
      </w:pPr>
      <w:r w:rsidRPr="00EF3D98">
        <w:rPr>
          <w:rFonts w:eastAsia="Calibri" w:cs="Arial"/>
          <w:szCs w:val="24"/>
          <w:lang w:val="en-GB"/>
        </w:rPr>
        <w:br/>
      </w:r>
      <w:r w:rsidRPr="00A82725">
        <w:rPr>
          <w:rFonts w:eastAsia="Calibri" w:cs="Arial"/>
          <w:sz w:val="22"/>
          <w:szCs w:val="22"/>
          <w:lang w:val="en-GB"/>
        </w:rPr>
        <w:t xml:space="preserve">Public health is a statutory duty for DMBC. It is sensible that the </w:t>
      </w:r>
      <w:r w:rsidR="00FC22C9">
        <w:rPr>
          <w:rFonts w:eastAsia="Calibri" w:cs="Arial"/>
          <w:sz w:val="22"/>
          <w:szCs w:val="22"/>
          <w:lang w:val="en-GB"/>
        </w:rPr>
        <w:t xml:space="preserve">proposed </w:t>
      </w:r>
      <w:r w:rsidRPr="00A82725">
        <w:rPr>
          <w:rFonts w:eastAsia="Calibri" w:cs="Arial"/>
          <w:sz w:val="22"/>
          <w:szCs w:val="22"/>
          <w:lang w:val="en-GB"/>
        </w:rPr>
        <w:t xml:space="preserve">programme </w:t>
      </w:r>
      <w:r w:rsidR="00771C0C" w:rsidRPr="00A82725">
        <w:rPr>
          <w:rFonts w:eastAsia="Calibri" w:cs="Arial"/>
          <w:sz w:val="22"/>
          <w:szCs w:val="22"/>
          <w:lang w:val="en-GB"/>
        </w:rPr>
        <w:t xml:space="preserve">of commissioned activity </w:t>
      </w:r>
      <w:r w:rsidRPr="00A82725">
        <w:rPr>
          <w:rFonts w:eastAsia="Calibri" w:cs="Arial"/>
          <w:sz w:val="22"/>
          <w:szCs w:val="22"/>
          <w:lang w:val="en-GB"/>
        </w:rPr>
        <w:t xml:space="preserve">is reviewed to ensure the </w:t>
      </w:r>
      <w:r w:rsidR="00771C0C" w:rsidRPr="00A82725">
        <w:rPr>
          <w:rFonts w:eastAsia="Calibri" w:cs="Arial"/>
          <w:sz w:val="22"/>
          <w:szCs w:val="22"/>
          <w:lang w:val="en-GB"/>
        </w:rPr>
        <w:t xml:space="preserve">public health </w:t>
      </w:r>
      <w:r w:rsidRPr="00A82725">
        <w:rPr>
          <w:rFonts w:eastAsia="Calibri" w:cs="Arial"/>
          <w:sz w:val="22"/>
          <w:szCs w:val="22"/>
          <w:lang w:val="en-GB"/>
        </w:rPr>
        <w:t>duty is delivered effectively, to review existing contractual arrangements</w:t>
      </w:r>
      <w:r w:rsidR="00771C0C" w:rsidRPr="00A82725">
        <w:rPr>
          <w:rFonts w:eastAsia="Calibri" w:cs="Arial"/>
          <w:sz w:val="22"/>
          <w:szCs w:val="22"/>
          <w:lang w:val="en-GB"/>
        </w:rPr>
        <w:t xml:space="preserve">, </w:t>
      </w:r>
      <w:r w:rsidRPr="00A82725">
        <w:rPr>
          <w:rFonts w:eastAsia="Calibri" w:cs="Arial"/>
          <w:sz w:val="22"/>
          <w:szCs w:val="22"/>
          <w:lang w:val="en-GB"/>
        </w:rPr>
        <w:t xml:space="preserve">market test where appropriate and also to ensure the public health grant is used to the maximum effectiveness. </w:t>
      </w:r>
    </w:p>
    <w:p w:rsidR="0060426E" w:rsidRPr="00E96392" w:rsidRDefault="00E965E6" w:rsidP="00A61629">
      <w:pPr>
        <w:overflowPunct/>
        <w:autoSpaceDE/>
        <w:autoSpaceDN/>
        <w:adjustRightInd/>
        <w:spacing w:after="200" w:line="276" w:lineRule="auto"/>
        <w:jc w:val="both"/>
        <w:textAlignment w:val="auto"/>
        <w:rPr>
          <w:rFonts w:eastAsia="Calibri" w:cs="Arial"/>
          <w:sz w:val="22"/>
          <w:szCs w:val="22"/>
          <w:lang w:val="en-GB"/>
        </w:rPr>
      </w:pPr>
      <w:r>
        <w:rPr>
          <w:rFonts w:eastAsia="Calibri" w:cs="Arial"/>
          <w:sz w:val="22"/>
          <w:szCs w:val="22"/>
          <w:lang w:val="en-GB"/>
        </w:rPr>
        <w:t xml:space="preserve">Over the time period of this strategy a number of </w:t>
      </w:r>
      <w:r w:rsidR="00340162">
        <w:rPr>
          <w:rFonts w:eastAsia="Calibri" w:cs="Arial"/>
          <w:sz w:val="22"/>
          <w:szCs w:val="22"/>
          <w:lang w:val="en-GB"/>
        </w:rPr>
        <w:t>contracts</w:t>
      </w:r>
      <w:r>
        <w:rPr>
          <w:rFonts w:eastAsia="Calibri" w:cs="Arial"/>
          <w:sz w:val="22"/>
          <w:szCs w:val="22"/>
          <w:lang w:val="en-GB"/>
        </w:rPr>
        <w:t xml:space="preserve"> will expire and </w:t>
      </w:r>
      <w:r w:rsidR="00340162">
        <w:rPr>
          <w:rFonts w:eastAsia="Calibri" w:cs="Arial"/>
          <w:sz w:val="22"/>
          <w:szCs w:val="22"/>
          <w:lang w:val="en-GB"/>
        </w:rPr>
        <w:t xml:space="preserve">a range of new services will be required. </w:t>
      </w:r>
      <w:r w:rsidR="00FC22C9">
        <w:rPr>
          <w:rFonts w:eastAsia="Calibri" w:cs="Arial"/>
          <w:sz w:val="22"/>
          <w:szCs w:val="22"/>
          <w:lang w:val="en-GB"/>
        </w:rPr>
        <w:t xml:space="preserve"> </w:t>
      </w:r>
    </w:p>
    <w:p w:rsidR="00EF3D98" w:rsidRPr="00771C0C" w:rsidRDefault="00EF3D98" w:rsidP="00A61629">
      <w:pPr>
        <w:spacing w:after="200" w:line="276" w:lineRule="auto"/>
        <w:jc w:val="both"/>
        <w:rPr>
          <w:rFonts w:eastAsia="Calibri" w:cs="Arial"/>
          <w:noProof/>
          <w:sz w:val="22"/>
          <w:szCs w:val="22"/>
          <w:lang w:val="en-GB" w:eastAsia="en-GB"/>
        </w:rPr>
      </w:pPr>
      <w:r w:rsidRPr="00341D2C">
        <w:rPr>
          <w:b/>
        </w:rPr>
        <w:t>Benchmarking</w:t>
      </w:r>
      <w:r w:rsidR="00341D2C">
        <w:rPr>
          <w:b/>
        </w:rPr>
        <w:t xml:space="preserve">: </w:t>
      </w:r>
      <w:r w:rsidRPr="00771C0C">
        <w:rPr>
          <w:rFonts w:eastAsia="Calibri" w:cs="Arial"/>
          <w:sz w:val="22"/>
          <w:szCs w:val="22"/>
          <w:lang w:val="en-GB"/>
        </w:rPr>
        <w:t xml:space="preserve">Public Health functions and commissioned services can be benchmarked in a number of ways including performance against the public health outcomes framework, the quantum of the public health grant and effectiveness of the use of the grant. </w:t>
      </w:r>
      <w:r w:rsidRPr="00771C0C">
        <w:rPr>
          <w:rFonts w:eastAsia="Calibri" w:cs="Arial"/>
          <w:sz w:val="22"/>
          <w:szCs w:val="22"/>
          <w:lang w:val="en-GB"/>
        </w:rPr>
        <w:br/>
      </w:r>
      <w:r w:rsidRPr="00771C0C">
        <w:rPr>
          <w:rFonts w:eastAsia="Calibri" w:cs="Arial"/>
          <w:sz w:val="22"/>
          <w:szCs w:val="22"/>
          <w:lang w:val="en-GB"/>
        </w:rPr>
        <w:br/>
      </w:r>
      <w:r w:rsidRPr="00771C0C">
        <w:rPr>
          <w:rFonts w:eastAsia="Calibri" w:cs="Arial"/>
          <w:b/>
          <w:sz w:val="22"/>
          <w:szCs w:val="22"/>
          <w:lang w:val="en-GB"/>
        </w:rPr>
        <w:t>Public Health Performance</w:t>
      </w:r>
      <w:r w:rsidR="00341D2C">
        <w:rPr>
          <w:rFonts w:eastAsia="Calibri" w:cs="Arial"/>
          <w:b/>
          <w:sz w:val="22"/>
          <w:szCs w:val="22"/>
          <w:lang w:val="en-GB"/>
        </w:rPr>
        <w:t>:</w:t>
      </w:r>
      <w:r w:rsidRPr="00771C0C">
        <w:rPr>
          <w:rFonts w:eastAsia="Calibri" w:cs="Arial"/>
          <w:sz w:val="22"/>
          <w:szCs w:val="22"/>
          <w:lang w:val="en-GB"/>
        </w:rPr>
        <w:t xml:space="preserve"> Doncaster performance on the Public health outcomes framework is worse than the national average for the headline indicators healthy life expectancy and difference in life expectancy</w:t>
      </w:r>
      <w:r w:rsidR="00BD0CFD">
        <w:rPr>
          <w:rFonts w:eastAsia="Calibri" w:cs="Arial"/>
          <w:sz w:val="22"/>
          <w:szCs w:val="22"/>
          <w:lang w:val="en-GB"/>
        </w:rPr>
        <w:t xml:space="preserve"> (Figure 2)</w:t>
      </w:r>
      <w:r w:rsidRPr="00771C0C">
        <w:rPr>
          <w:rFonts w:eastAsia="Calibri" w:cs="Arial"/>
          <w:sz w:val="22"/>
          <w:szCs w:val="22"/>
          <w:lang w:val="en-GB"/>
        </w:rPr>
        <w:t xml:space="preserve">. This is </w:t>
      </w:r>
      <w:r w:rsidR="00FF282B">
        <w:rPr>
          <w:rFonts w:eastAsia="Calibri" w:cs="Arial"/>
          <w:sz w:val="22"/>
          <w:szCs w:val="22"/>
          <w:lang w:val="en-GB"/>
        </w:rPr>
        <w:t xml:space="preserve">further </w:t>
      </w:r>
      <w:r w:rsidR="00FC22C9">
        <w:rPr>
          <w:rFonts w:eastAsia="Calibri" w:cs="Arial"/>
          <w:sz w:val="22"/>
          <w:szCs w:val="22"/>
          <w:lang w:val="en-GB"/>
        </w:rPr>
        <w:t xml:space="preserve">shown </w:t>
      </w:r>
      <w:r w:rsidRPr="00771C0C">
        <w:rPr>
          <w:rFonts w:eastAsia="Calibri" w:cs="Arial"/>
          <w:sz w:val="22"/>
          <w:szCs w:val="22"/>
          <w:lang w:val="en-GB"/>
        </w:rPr>
        <w:t xml:space="preserve">in Health Profiles </w:t>
      </w:r>
      <w:r w:rsidR="00FC22C9">
        <w:rPr>
          <w:rFonts w:eastAsia="Calibri" w:cs="Arial"/>
          <w:sz w:val="22"/>
          <w:szCs w:val="22"/>
          <w:lang w:val="en-GB"/>
        </w:rPr>
        <w:t xml:space="preserve">for Doncaster </w:t>
      </w:r>
      <w:r w:rsidR="00CA6C5F">
        <w:rPr>
          <w:rFonts w:eastAsia="Calibri" w:cs="Arial"/>
          <w:sz w:val="22"/>
          <w:szCs w:val="22"/>
          <w:lang w:val="en-GB"/>
        </w:rPr>
        <w:t>(</w:t>
      </w:r>
      <w:r w:rsidR="00FC22C9">
        <w:rPr>
          <w:rFonts w:eastAsia="Calibri" w:cs="Arial"/>
          <w:sz w:val="22"/>
          <w:szCs w:val="22"/>
          <w:lang w:val="en-GB"/>
        </w:rPr>
        <w:t xml:space="preserve">Figure </w:t>
      </w:r>
      <w:r w:rsidR="00BD0CFD">
        <w:rPr>
          <w:rFonts w:eastAsia="Calibri" w:cs="Arial"/>
          <w:sz w:val="22"/>
          <w:szCs w:val="22"/>
          <w:lang w:val="en-GB"/>
        </w:rPr>
        <w:t>3)</w:t>
      </w:r>
      <w:r w:rsidR="00FC22C9">
        <w:rPr>
          <w:rFonts w:eastAsia="Calibri" w:cs="Arial"/>
          <w:sz w:val="22"/>
          <w:szCs w:val="22"/>
          <w:lang w:val="en-GB"/>
        </w:rPr>
        <w:t xml:space="preserve">. </w:t>
      </w:r>
    </w:p>
    <w:p w:rsidR="00341D2C" w:rsidRDefault="00341D2C" w:rsidP="00EF3D98">
      <w:pPr>
        <w:overflowPunct/>
        <w:autoSpaceDE/>
        <w:autoSpaceDN/>
        <w:adjustRightInd/>
        <w:spacing w:after="200" w:line="276" w:lineRule="auto"/>
        <w:textAlignment w:val="auto"/>
        <w:rPr>
          <w:rFonts w:eastAsia="Calibri" w:cs="Arial"/>
          <w:noProof/>
          <w:sz w:val="22"/>
          <w:szCs w:val="22"/>
          <w:lang w:val="en-GB" w:eastAsia="en-GB"/>
        </w:rPr>
      </w:pPr>
    </w:p>
    <w:p w:rsidR="00EF3D98" w:rsidRDefault="00FC22C9" w:rsidP="00EF3D98">
      <w:pPr>
        <w:overflowPunct/>
        <w:autoSpaceDE/>
        <w:autoSpaceDN/>
        <w:adjustRightInd/>
        <w:spacing w:after="200" w:line="276" w:lineRule="auto"/>
        <w:textAlignment w:val="auto"/>
        <w:rPr>
          <w:rFonts w:eastAsia="Calibri" w:cs="Arial"/>
          <w:noProof/>
          <w:sz w:val="22"/>
          <w:szCs w:val="22"/>
          <w:lang w:val="en-GB" w:eastAsia="en-GB"/>
        </w:rPr>
      </w:pPr>
      <w:r w:rsidRPr="00DF7680">
        <w:rPr>
          <w:rFonts w:eastAsia="Calibri" w:cs="Arial"/>
          <w:b/>
          <w:noProof/>
          <w:sz w:val="22"/>
          <w:szCs w:val="22"/>
          <w:lang w:val="en-GB" w:eastAsia="en-GB"/>
        </w:rPr>
        <w:t>Figure</w:t>
      </w:r>
      <w:r w:rsidR="00341D2C" w:rsidRPr="00DF7680">
        <w:rPr>
          <w:rFonts w:eastAsia="Calibri" w:cs="Arial"/>
          <w:b/>
          <w:noProof/>
          <w:sz w:val="22"/>
          <w:szCs w:val="22"/>
          <w:lang w:val="en-GB" w:eastAsia="en-GB"/>
        </w:rPr>
        <w:t xml:space="preserve"> 2</w:t>
      </w:r>
      <w:r w:rsidRPr="00DF7680">
        <w:rPr>
          <w:rFonts w:eastAsia="Calibri" w:cs="Arial"/>
          <w:b/>
          <w:noProof/>
          <w:sz w:val="22"/>
          <w:szCs w:val="22"/>
          <w:lang w:val="en-GB" w:eastAsia="en-GB"/>
        </w:rPr>
        <w:t>:</w:t>
      </w:r>
      <w:r>
        <w:rPr>
          <w:rFonts w:eastAsia="Calibri" w:cs="Arial"/>
          <w:noProof/>
          <w:sz w:val="22"/>
          <w:szCs w:val="22"/>
          <w:lang w:val="en-GB" w:eastAsia="en-GB"/>
        </w:rPr>
        <w:t xml:space="preserve"> Life expectancy gap for men and women (in years) in Doncaster.</w:t>
      </w:r>
    </w:p>
    <w:p w:rsidR="00FC22C9" w:rsidRDefault="00626BC6" w:rsidP="00EF3D98">
      <w:pPr>
        <w:overflowPunct/>
        <w:autoSpaceDE/>
        <w:autoSpaceDN/>
        <w:adjustRightInd/>
        <w:spacing w:after="200" w:line="276" w:lineRule="auto"/>
        <w:textAlignment w:val="auto"/>
        <w:rPr>
          <w:rFonts w:eastAsia="Calibri" w:cs="Arial"/>
          <w:sz w:val="22"/>
          <w:szCs w:val="22"/>
          <w:lang w:val="en-GB"/>
        </w:rPr>
      </w:pPr>
      <w:r>
        <w:rPr>
          <w:rFonts w:eastAsia="Calibri" w:cs="Arial"/>
          <w:noProof/>
          <w:sz w:val="22"/>
          <w:szCs w:val="22"/>
          <w:lang w:val="en-GB" w:eastAsia="en-GB"/>
        </w:rPr>
        <w:drawing>
          <wp:inline distT="0" distB="0" distL="0" distR="0" wp14:anchorId="6F9B3D73" wp14:editId="31916009">
            <wp:extent cx="5706110" cy="2582545"/>
            <wp:effectExtent l="0" t="0" r="889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6110" cy="2582545"/>
                    </a:xfrm>
                    <a:prstGeom prst="rect">
                      <a:avLst/>
                    </a:prstGeom>
                    <a:noFill/>
                    <a:ln>
                      <a:noFill/>
                    </a:ln>
                  </pic:spPr>
                </pic:pic>
              </a:graphicData>
            </a:graphic>
          </wp:inline>
        </w:drawing>
      </w:r>
    </w:p>
    <w:p w:rsidR="00FC22C9" w:rsidRDefault="00FC22C9" w:rsidP="00EF3D98">
      <w:pPr>
        <w:overflowPunct/>
        <w:autoSpaceDE/>
        <w:autoSpaceDN/>
        <w:adjustRightInd/>
        <w:spacing w:after="200" w:line="276" w:lineRule="auto"/>
        <w:textAlignment w:val="auto"/>
        <w:rPr>
          <w:rFonts w:eastAsia="Calibri" w:cs="Arial"/>
          <w:sz w:val="22"/>
          <w:szCs w:val="22"/>
          <w:lang w:val="en-GB"/>
        </w:rPr>
      </w:pPr>
    </w:p>
    <w:p w:rsidR="00341D2C" w:rsidRDefault="00341D2C" w:rsidP="00EF3D98">
      <w:pPr>
        <w:overflowPunct/>
        <w:autoSpaceDE/>
        <w:autoSpaceDN/>
        <w:adjustRightInd/>
        <w:spacing w:after="200" w:line="276" w:lineRule="auto"/>
        <w:textAlignment w:val="auto"/>
        <w:rPr>
          <w:rFonts w:eastAsia="Calibri" w:cs="Arial"/>
          <w:sz w:val="22"/>
          <w:szCs w:val="22"/>
          <w:lang w:val="en-GB"/>
        </w:rPr>
      </w:pPr>
    </w:p>
    <w:p w:rsidR="00341D2C" w:rsidRDefault="00BD0CFD" w:rsidP="00E96392">
      <w:pPr>
        <w:overflowPunct/>
        <w:autoSpaceDE/>
        <w:autoSpaceDN/>
        <w:adjustRightInd/>
        <w:textAlignment w:val="auto"/>
        <w:rPr>
          <w:rFonts w:eastAsia="Calibri" w:cs="Arial"/>
          <w:sz w:val="22"/>
          <w:szCs w:val="22"/>
          <w:lang w:val="en-GB"/>
        </w:rPr>
      </w:pPr>
      <w:r w:rsidRPr="00F974F5">
        <w:rPr>
          <w:rFonts w:eastAsia="Calibri" w:cs="Arial"/>
          <w:b/>
          <w:sz w:val="22"/>
          <w:szCs w:val="22"/>
          <w:lang w:val="en-GB"/>
        </w:rPr>
        <w:lastRenderedPageBreak/>
        <w:t>Figure 3:</w:t>
      </w:r>
      <w:r>
        <w:rPr>
          <w:rFonts w:eastAsia="Calibri" w:cs="Arial"/>
          <w:sz w:val="22"/>
          <w:szCs w:val="22"/>
          <w:lang w:val="en-GB"/>
        </w:rPr>
        <w:t xml:space="preserve"> Health profile for Doncaster</w:t>
      </w:r>
      <w:r w:rsidR="00B3252D">
        <w:rPr>
          <w:rFonts w:eastAsia="Calibri" w:cs="Arial"/>
          <w:sz w:val="22"/>
          <w:szCs w:val="22"/>
          <w:lang w:val="en-GB"/>
        </w:rPr>
        <w:t>, September 2016</w:t>
      </w:r>
    </w:p>
    <w:p w:rsidR="00FC22C9" w:rsidRPr="00EF3D98" w:rsidRDefault="00626BC6" w:rsidP="00EF3D98">
      <w:pPr>
        <w:overflowPunct/>
        <w:autoSpaceDE/>
        <w:autoSpaceDN/>
        <w:adjustRightInd/>
        <w:spacing w:after="200" w:line="276" w:lineRule="auto"/>
        <w:textAlignment w:val="auto"/>
        <w:rPr>
          <w:rFonts w:eastAsia="Calibri" w:cs="Arial"/>
          <w:sz w:val="22"/>
          <w:szCs w:val="22"/>
          <w:lang w:val="en-GB"/>
        </w:rPr>
      </w:pPr>
      <w:r>
        <w:rPr>
          <w:rFonts w:eastAsia="Calibri" w:cs="Arial"/>
          <w:noProof/>
          <w:sz w:val="22"/>
          <w:szCs w:val="22"/>
          <w:lang w:val="en-GB" w:eastAsia="en-GB"/>
        </w:rPr>
        <w:drawing>
          <wp:inline distT="0" distB="0" distL="0" distR="0" wp14:anchorId="311E0B78" wp14:editId="68AAB808">
            <wp:extent cx="6146786" cy="8261420"/>
            <wp:effectExtent l="0" t="0" r="698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8810" cy="8264140"/>
                    </a:xfrm>
                    <a:prstGeom prst="rect">
                      <a:avLst/>
                    </a:prstGeom>
                    <a:noFill/>
                    <a:ln>
                      <a:noFill/>
                    </a:ln>
                  </pic:spPr>
                </pic:pic>
              </a:graphicData>
            </a:graphic>
          </wp:inline>
        </w:drawing>
      </w:r>
    </w:p>
    <w:p w:rsidR="00BD0CFD" w:rsidRDefault="00BD0CFD" w:rsidP="001D4F05">
      <w:pPr>
        <w:overflowPunct/>
        <w:autoSpaceDE/>
        <w:autoSpaceDN/>
        <w:adjustRightInd/>
        <w:spacing w:after="200"/>
        <w:ind w:left="180"/>
        <w:textAlignment w:val="auto"/>
        <w:rPr>
          <w:rFonts w:eastAsia="Calibri" w:cs="Arial"/>
          <w:sz w:val="22"/>
          <w:szCs w:val="22"/>
          <w:lang w:val="en-GB"/>
        </w:rPr>
      </w:pPr>
    </w:p>
    <w:p w:rsidR="003509B1" w:rsidRPr="00EF3D98" w:rsidRDefault="00341D2C" w:rsidP="001D4F05">
      <w:pPr>
        <w:pStyle w:val="Heading2"/>
      </w:pPr>
      <w:bookmarkStart w:id="8" w:name="_Toc483994446"/>
      <w:r>
        <w:lastRenderedPageBreak/>
        <w:t>2.3</w:t>
      </w:r>
      <w:r>
        <w:tab/>
      </w:r>
      <w:r w:rsidR="003509B1">
        <w:t>Principle 3:</w:t>
      </w:r>
      <w:r w:rsidR="003509B1" w:rsidRPr="00EF3D98">
        <w:t xml:space="preserve"> </w:t>
      </w:r>
      <w:r w:rsidR="003509B1">
        <w:t>Work in partnership</w:t>
      </w:r>
      <w:bookmarkEnd w:id="8"/>
    </w:p>
    <w:p w:rsidR="00387BFD" w:rsidRDefault="00387BFD" w:rsidP="001D4F05">
      <w:pPr>
        <w:overflowPunct/>
        <w:autoSpaceDE/>
        <w:autoSpaceDN/>
        <w:adjustRightInd/>
        <w:spacing w:after="200"/>
        <w:ind w:left="180"/>
        <w:textAlignment w:val="auto"/>
        <w:rPr>
          <w:rFonts w:eastAsia="Calibri" w:cs="Arial"/>
          <w:sz w:val="22"/>
          <w:szCs w:val="22"/>
          <w:lang w:val="en-GB"/>
        </w:rPr>
      </w:pPr>
    </w:p>
    <w:p w:rsidR="00E81803" w:rsidRPr="00BE0F0F" w:rsidRDefault="003509B1" w:rsidP="00A61629">
      <w:pPr>
        <w:overflowPunct/>
        <w:autoSpaceDE/>
        <w:autoSpaceDN/>
        <w:adjustRightInd/>
        <w:spacing w:after="200" w:line="276" w:lineRule="auto"/>
        <w:ind w:left="181"/>
        <w:jc w:val="both"/>
        <w:textAlignment w:val="auto"/>
        <w:rPr>
          <w:rFonts w:eastAsia="Calibri" w:cs="Arial"/>
          <w:sz w:val="22"/>
          <w:szCs w:val="22"/>
          <w:lang w:val="en-GB"/>
        </w:rPr>
      </w:pPr>
      <w:r w:rsidRPr="00134479">
        <w:rPr>
          <w:rFonts w:eastAsia="Calibri" w:cs="Arial"/>
          <w:sz w:val="22"/>
          <w:szCs w:val="22"/>
          <w:lang w:val="en-GB"/>
        </w:rPr>
        <w:t xml:space="preserve">The Public Health </w:t>
      </w:r>
      <w:r w:rsidR="00FF282B">
        <w:rPr>
          <w:rFonts w:eastAsia="Calibri" w:cs="Arial"/>
          <w:sz w:val="22"/>
          <w:szCs w:val="22"/>
          <w:lang w:val="en-GB"/>
        </w:rPr>
        <w:t>t</w:t>
      </w:r>
      <w:r w:rsidR="00BA2ACC">
        <w:rPr>
          <w:rFonts w:eastAsia="Calibri" w:cs="Arial"/>
          <w:sz w:val="22"/>
          <w:szCs w:val="22"/>
          <w:lang w:val="en-GB"/>
        </w:rPr>
        <w:t>eam</w:t>
      </w:r>
      <w:r w:rsidR="00BA2ACC" w:rsidRPr="00134479">
        <w:rPr>
          <w:rFonts w:eastAsia="Calibri" w:cs="Arial"/>
          <w:sz w:val="22"/>
          <w:szCs w:val="22"/>
          <w:lang w:val="en-GB"/>
        </w:rPr>
        <w:t xml:space="preserve"> </w:t>
      </w:r>
      <w:r w:rsidRPr="00134479">
        <w:rPr>
          <w:rFonts w:eastAsia="Calibri" w:cs="Arial"/>
          <w:sz w:val="22"/>
          <w:szCs w:val="22"/>
          <w:lang w:val="en-GB"/>
        </w:rPr>
        <w:t xml:space="preserve">will work in partnership </w:t>
      </w:r>
      <w:r w:rsidR="00BA2ACC">
        <w:rPr>
          <w:rFonts w:eastAsia="Calibri" w:cs="Arial"/>
          <w:sz w:val="22"/>
          <w:szCs w:val="22"/>
          <w:lang w:val="en-GB"/>
        </w:rPr>
        <w:t xml:space="preserve">with other agencies </w:t>
      </w:r>
      <w:r w:rsidRPr="00134479">
        <w:rPr>
          <w:rFonts w:eastAsia="Calibri" w:cs="Arial"/>
          <w:sz w:val="22"/>
          <w:szCs w:val="22"/>
          <w:lang w:val="en-GB"/>
        </w:rPr>
        <w:t xml:space="preserve">to improve health and reduce health </w:t>
      </w:r>
      <w:r w:rsidR="00134479" w:rsidRPr="00134479">
        <w:rPr>
          <w:rFonts w:eastAsia="Calibri" w:cs="Arial"/>
          <w:sz w:val="22"/>
          <w:szCs w:val="22"/>
          <w:lang w:val="en-GB"/>
        </w:rPr>
        <w:t>inequalities</w:t>
      </w:r>
      <w:r w:rsidRPr="00134479">
        <w:rPr>
          <w:rFonts w:eastAsia="Calibri" w:cs="Arial"/>
          <w:sz w:val="22"/>
          <w:szCs w:val="22"/>
          <w:lang w:val="en-GB"/>
        </w:rPr>
        <w:t xml:space="preserve">. This may </w:t>
      </w:r>
      <w:r w:rsidR="00134479" w:rsidRPr="00134479">
        <w:rPr>
          <w:rFonts w:eastAsia="Calibri" w:cs="Arial"/>
          <w:sz w:val="22"/>
          <w:szCs w:val="22"/>
          <w:lang w:val="en-GB"/>
        </w:rPr>
        <w:t>involve</w:t>
      </w:r>
      <w:r w:rsidRPr="00134479">
        <w:rPr>
          <w:rFonts w:eastAsia="Calibri" w:cs="Arial"/>
          <w:sz w:val="22"/>
          <w:szCs w:val="22"/>
          <w:lang w:val="en-GB"/>
        </w:rPr>
        <w:t xml:space="preserve"> </w:t>
      </w:r>
      <w:r w:rsidR="00134479" w:rsidRPr="00134479">
        <w:rPr>
          <w:rFonts w:eastAsia="Calibri" w:cs="Arial"/>
          <w:sz w:val="22"/>
          <w:szCs w:val="22"/>
          <w:lang w:val="en-GB"/>
        </w:rPr>
        <w:t>partnerships</w:t>
      </w:r>
      <w:r w:rsidRPr="00134479">
        <w:rPr>
          <w:rFonts w:eastAsia="Calibri" w:cs="Arial"/>
          <w:sz w:val="22"/>
          <w:szCs w:val="22"/>
          <w:lang w:val="en-GB"/>
        </w:rPr>
        <w:t xml:space="preserve"> with co-commissioners </w:t>
      </w:r>
      <w:r w:rsidR="00134479" w:rsidRPr="00134479">
        <w:rPr>
          <w:rFonts w:eastAsia="Calibri" w:cs="Arial"/>
          <w:sz w:val="22"/>
          <w:szCs w:val="22"/>
          <w:lang w:val="en-GB"/>
        </w:rPr>
        <w:t>both within Doncaster a</w:t>
      </w:r>
      <w:r w:rsidR="00BA2ACC">
        <w:rPr>
          <w:rFonts w:eastAsia="Calibri" w:cs="Arial"/>
          <w:sz w:val="22"/>
          <w:szCs w:val="22"/>
          <w:lang w:val="en-GB"/>
        </w:rPr>
        <w:t>n</w:t>
      </w:r>
      <w:r w:rsidR="00134479" w:rsidRPr="00134479">
        <w:rPr>
          <w:rFonts w:eastAsia="Calibri" w:cs="Arial"/>
          <w:sz w:val="22"/>
          <w:szCs w:val="22"/>
          <w:lang w:val="en-GB"/>
        </w:rPr>
        <w:t>d in other geographies where there is evidence of benefit.</w:t>
      </w:r>
      <w:r w:rsidR="00340162">
        <w:rPr>
          <w:rFonts w:eastAsia="Calibri" w:cs="Arial"/>
          <w:sz w:val="22"/>
          <w:szCs w:val="22"/>
          <w:lang w:val="en-GB"/>
        </w:rPr>
        <w:t xml:space="preserve"> </w:t>
      </w:r>
      <w:r w:rsidR="00340162" w:rsidRPr="00340162">
        <w:rPr>
          <w:rFonts w:eastAsia="Calibri" w:cs="Arial"/>
          <w:sz w:val="22"/>
          <w:szCs w:val="22"/>
          <w:lang w:val="en-GB"/>
        </w:rPr>
        <w:t>In addition, in line with the Doncaster Place Plan further work will need to be done to integrate both commissioning and the provision of services.</w:t>
      </w:r>
    </w:p>
    <w:p w:rsidR="00E81803" w:rsidRPr="00E81803" w:rsidRDefault="00E81803" w:rsidP="001D4F05">
      <w:pPr>
        <w:rPr>
          <w:lang w:val="en-GB"/>
        </w:rPr>
      </w:pPr>
    </w:p>
    <w:p w:rsidR="003509B1" w:rsidRDefault="00341D2C" w:rsidP="001D4F05">
      <w:pPr>
        <w:pStyle w:val="Heading2"/>
      </w:pPr>
      <w:bookmarkStart w:id="9" w:name="_Toc483994447"/>
      <w:r>
        <w:t>2.4</w:t>
      </w:r>
      <w:r>
        <w:tab/>
      </w:r>
      <w:r w:rsidR="003509B1">
        <w:t>Principle 4 &amp; 6:</w:t>
      </w:r>
      <w:r w:rsidR="003509B1" w:rsidRPr="00EF3D98">
        <w:t xml:space="preserve"> </w:t>
      </w:r>
      <w:r w:rsidR="003509B1">
        <w:t>Understanding Needs and Promoting Resident Involvement</w:t>
      </w:r>
      <w:bookmarkEnd w:id="9"/>
    </w:p>
    <w:p w:rsidR="003509B1" w:rsidRPr="00387BFD" w:rsidRDefault="003509B1" w:rsidP="001D4F05">
      <w:pPr>
        <w:rPr>
          <w:lang w:val="en-GB"/>
        </w:rPr>
      </w:pPr>
    </w:p>
    <w:p w:rsidR="003509B1" w:rsidRPr="00387BFD" w:rsidRDefault="003509B1" w:rsidP="00A61629">
      <w:pPr>
        <w:overflowPunct/>
        <w:autoSpaceDE/>
        <w:autoSpaceDN/>
        <w:adjustRightInd/>
        <w:spacing w:after="200" w:line="276" w:lineRule="auto"/>
        <w:ind w:left="181"/>
        <w:jc w:val="both"/>
        <w:textAlignment w:val="auto"/>
        <w:rPr>
          <w:rFonts w:eastAsia="Calibri" w:cs="Arial"/>
          <w:sz w:val="22"/>
          <w:szCs w:val="22"/>
        </w:rPr>
      </w:pPr>
      <w:r w:rsidRPr="00387BFD">
        <w:rPr>
          <w:rFonts w:eastAsia="Calibri" w:cs="Arial"/>
          <w:sz w:val="22"/>
          <w:szCs w:val="22"/>
        </w:rPr>
        <w:t>Doncaster people are involved in the commissioning of public health services in a number of ways.</w:t>
      </w:r>
    </w:p>
    <w:p w:rsidR="003509B1" w:rsidRPr="00387BFD" w:rsidRDefault="003509B1" w:rsidP="00A61629">
      <w:pPr>
        <w:overflowPunct/>
        <w:autoSpaceDE/>
        <w:autoSpaceDN/>
        <w:adjustRightInd/>
        <w:spacing w:after="200" w:line="276" w:lineRule="auto"/>
        <w:ind w:left="181"/>
        <w:jc w:val="both"/>
        <w:textAlignment w:val="auto"/>
        <w:rPr>
          <w:rFonts w:eastAsia="Calibri" w:cs="Arial"/>
          <w:sz w:val="22"/>
          <w:szCs w:val="22"/>
        </w:rPr>
      </w:pPr>
      <w:r w:rsidRPr="00387BFD">
        <w:rPr>
          <w:rFonts w:eastAsia="Calibri" w:cs="Arial"/>
          <w:sz w:val="22"/>
          <w:szCs w:val="22"/>
        </w:rPr>
        <w:t>Firstly, the community</w:t>
      </w:r>
      <w:r w:rsidR="00EA1554">
        <w:rPr>
          <w:rFonts w:eastAsia="Calibri" w:cs="Arial"/>
          <w:sz w:val="22"/>
          <w:szCs w:val="22"/>
        </w:rPr>
        <w:t>,</w:t>
      </w:r>
      <w:r w:rsidRPr="00387BFD">
        <w:rPr>
          <w:rFonts w:eastAsia="Calibri" w:cs="Arial"/>
          <w:sz w:val="22"/>
          <w:szCs w:val="22"/>
        </w:rPr>
        <w:t xml:space="preserve"> including patients and </w:t>
      </w:r>
      <w:proofErr w:type="spellStart"/>
      <w:r w:rsidRPr="00387BFD">
        <w:rPr>
          <w:rFonts w:eastAsia="Calibri" w:cs="Arial"/>
          <w:sz w:val="22"/>
          <w:szCs w:val="22"/>
        </w:rPr>
        <w:t>carers</w:t>
      </w:r>
      <w:proofErr w:type="spellEnd"/>
      <w:r w:rsidR="00EA1554">
        <w:rPr>
          <w:rFonts w:eastAsia="Calibri" w:cs="Arial"/>
          <w:sz w:val="22"/>
          <w:szCs w:val="22"/>
        </w:rPr>
        <w:t>,</w:t>
      </w:r>
      <w:r w:rsidRPr="00387BFD">
        <w:rPr>
          <w:rFonts w:eastAsia="Calibri" w:cs="Arial"/>
          <w:sz w:val="22"/>
          <w:szCs w:val="22"/>
        </w:rPr>
        <w:t xml:space="preserve"> are involved in contributing and producing the Joint Strategic Needs Assessment or other more targeted assessments. These assessments are used to identify strategic priorities including the priorities in the Health and Wellbeing Strategy. These contributions are also used by commissioners to set service user expectation of the service.</w:t>
      </w:r>
      <w:r>
        <w:rPr>
          <w:rFonts w:eastAsia="Calibri" w:cs="Arial"/>
          <w:sz w:val="22"/>
          <w:szCs w:val="22"/>
        </w:rPr>
        <w:t xml:space="preserve"> The </w:t>
      </w:r>
      <w:r w:rsidR="002441C0">
        <w:rPr>
          <w:rFonts w:eastAsia="Calibri" w:cs="Arial"/>
          <w:sz w:val="22"/>
          <w:szCs w:val="22"/>
        </w:rPr>
        <w:t xml:space="preserve">Public Health </w:t>
      </w:r>
      <w:r w:rsidR="00340162">
        <w:rPr>
          <w:rFonts w:eastAsia="Calibri" w:cs="Arial"/>
          <w:sz w:val="22"/>
          <w:szCs w:val="22"/>
        </w:rPr>
        <w:t>t</w:t>
      </w:r>
      <w:r w:rsidR="002441C0">
        <w:rPr>
          <w:rFonts w:eastAsia="Calibri" w:cs="Arial"/>
          <w:sz w:val="22"/>
          <w:szCs w:val="22"/>
        </w:rPr>
        <w:t xml:space="preserve">eam </w:t>
      </w:r>
      <w:r>
        <w:rPr>
          <w:rFonts w:eastAsia="Calibri" w:cs="Arial"/>
          <w:sz w:val="22"/>
          <w:szCs w:val="22"/>
        </w:rPr>
        <w:t>will use the corporate community engagement toolkit.</w:t>
      </w:r>
    </w:p>
    <w:p w:rsidR="003509B1" w:rsidRPr="00E81803" w:rsidRDefault="003509B1" w:rsidP="00A61629">
      <w:pPr>
        <w:overflowPunct/>
        <w:autoSpaceDE/>
        <w:autoSpaceDN/>
        <w:adjustRightInd/>
        <w:spacing w:after="200" w:line="276" w:lineRule="auto"/>
        <w:ind w:left="181"/>
        <w:jc w:val="both"/>
        <w:textAlignment w:val="auto"/>
        <w:rPr>
          <w:rFonts w:eastAsia="Calibri" w:cs="Arial"/>
          <w:sz w:val="22"/>
          <w:szCs w:val="22"/>
        </w:rPr>
      </w:pPr>
      <w:r w:rsidRPr="00E81803">
        <w:rPr>
          <w:rFonts w:eastAsia="Calibri" w:cs="Arial"/>
          <w:sz w:val="22"/>
          <w:szCs w:val="22"/>
        </w:rPr>
        <w:t>Secondly as part of the public health contracts with providers each provider must provide an annual service user report to provide assurance that the service is measuring service user experience. Service users are also involved in validating whether services meet NICE quality standards where they exist for those services.</w:t>
      </w:r>
    </w:p>
    <w:p w:rsidR="003509B1" w:rsidRPr="00E81803" w:rsidRDefault="003509B1" w:rsidP="00A61629">
      <w:pPr>
        <w:overflowPunct/>
        <w:autoSpaceDE/>
        <w:autoSpaceDN/>
        <w:adjustRightInd/>
        <w:spacing w:after="200" w:line="276" w:lineRule="auto"/>
        <w:ind w:left="181"/>
        <w:jc w:val="both"/>
        <w:textAlignment w:val="auto"/>
        <w:rPr>
          <w:rFonts w:eastAsia="Calibri" w:cs="Arial"/>
          <w:sz w:val="22"/>
          <w:szCs w:val="22"/>
        </w:rPr>
      </w:pPr>
      <w:r w:rsidRPr="00E81803">
        <w:rPr>
          <w:rFonts w:eastAsia="Calibri" w:cs="Arial"/>
          <w:sz w:val="22"/>
          <w:szCs w:val="22"/>
        </w:rPr>
        <w:t xml:space="preserve">Thirdly, where changes to services or service models are proposed the public and patients and </w:t>
      </w:r>
      <w:proofErr w:type="spellStart"/>
      <w:r w:rsidRPr="00E81803">
        <w:rPr>
          <w:rFonts w:eastAsia="Calibri" w:cs="Arial"/>
          <w:sz w:val="22"/>
          <w:szCs w:val="22"/>
        </w:rPr>
        <w:t>care</w:t>
      </w:r>
      <w:r>
        <w:rPr>
          <w:rFonts w:eastAsia="Calibri" w:cs="Arial"/>
          <w:sz w:val="22"/>
          <w:szCs w:val="22"/>
        </w:rPr>
        <w:t>r</w:t>
      </w:r>
      <w:r w:rsidRPr="00E81803">
        <w:rPr>
          <w:rFonts w:eastAsia="Calibri" w:cs="Arial"/>
          <w:sz w:val="22"/>
          <w:szCs w:val="22"/>
        </w:rPr>
        <w:t>s</w:t>
      </w:r>
      <w:proofErr w:type="spellEnd"/>
      <w:r w:rsidRPr="00E81803">
        <w:rPr>
          <w:rFonts w:eastAsia="Calibri" w:cs="Arial"/>
          <w:sz w:val="22"/>
          <w:szCs w:val="22"/>
        </w:rPr>
        <w:t xml:space="preserve"> are involved </w:t>
      </w:r>
      <w:r>
        <w:rPr>
          <w:rFonts w:eastAsia="Calibri" w:cs="Arial"/>
          <w:sz w:val="22"/>
          <w:szCs w:val="22"/>
        </w:rPr>
        <w:t>in co-producing the new models with the explicit aim of making services more accessible and effective.</w:t>
      </w:r>
    </w:p>
    <w:p w:rsidR="003509B1" w:rsidRPr="00BE0F0F" w:rsidRDefault="003509B1" w:rsidP="00A61629">
      <w:pPr>
        <w:overflowPunct/>
        <w:autoSpaceDE/>
        <w:autoSpaceDN/>
        <w:adjustRightInd/>
        <w:spacing w:after="200" w:line="276" w:lineRule="auto"/>
        <w:ind w:left="181"/>
        <w:jc w:val="both"/>
        <w:textAlignment w:val="auto"/>
        <w:rPr>
          <w:rFonts w:eastAsia="Calibri" w:cs="Arial"/>
          <w:sz w:val="22"/>
          <w:szCs w:val="22"/>
        </w:rPr>
      </w:pPr>
      <w:r w:rsidRPr="00E81803">
        <w:rPr>
          <w:rFonts w:eastAsia="Calibri" w:cs="Arial"/>
          <w:sz w:val="22"/>
          <w:szCs w:val="22"/>
        </w:rPr>
        <w:t>All these approaches require sharing of information along care pathways by other commissioners or i</w:t>
      </w:r>
      <w:r w:rsidR="00BE0F0F">
        <w:rPr>
          <w:rFonts w:eastAsia="Calibri" w:cs="Arial"/>
          <w:sz w:val="22"/>
          <w:szCs w:val="22"/>
        </w:rPr>
        <w:t xml:space="preserve">nvolving the local </w:t>
      </w:r>
      <w:proofErr w:type="spellStart"/>
      <w:r w:rsidR="00BE0F0F">
        <w:rPr>
          <w:rFonts w:eastAsia="Calibri" w:cs="Arial"/>
          <w:sz w:val="22"/>
          <w:szCs w:val="22"/>
        </w:rPr>
        <w:t>Health</w:t>
      </w:r>
      <w:r w:rsidR="00340162">
        <w:rPr>
          <w:rFonts w:eastAsia="Calibri" w:cs="Arial"/>
          <w:sz w:val="22"/>
          <w:szCs w:val="22"/>
        </w:rPr>
        <w:t>w</w:t>
      </w:r>
      <w:r w:rsidR="00BE0F0F">
        <w:rPr>
          <w:rFonts w:eastAsia="Calibri" w:cs="Arial"/>
          <w:sz w:val="22"/>
          <w:szCs w:val="22"/>
        </w:rPr>
        <w:t>atch</w:t>
      </w:r>
      <w:proofErr w:type="spellEnd"/>
      <w:r w:rsidR="00692630">
        <w:rPr>
          <w:rFonts w:eastAsia="Calibri" w:cs="Arial"/>
          <w:sz w:val="22"/>
          <w:szCs w:val="22"/>
        </w:rPr>
        <w:t>.</w:t>
      </w:r>
    </w:p>
    <w:p w:rsidR="003509B1" w:rsidRDefault="00341D2C" w:rsidP="001D4F05">
      <w:pPr>
        <w:pStyle w:val="Heading2"/>
      </w:pPr>
      <w:bookmarkStart w:id="10" w:name="_Toc483994448"/>
      <w:r>
        <w:t>2.5</w:t>
      </w:r>
      <w:r>
        <w:tab/>
      </w:r>
      <w:r w:rsidR="003509B1">
        <w:t>Principle 5: Social Value</w:t>
      </w:r>
      <w:bookmarkEnd w:id="10"/>
    </w:p>
    <w:p w:rsidR="003509B1" w:rsidRPr="00E81803" w:rsidRDefault="003509B1" w:rsidP="001D4F05">
      <w:pPr>
        <w:rPr>
          <w:lang w:val="en-GB"/>
        </w:rPr>
      </w:pPr>
    </w:p>
    <w:p w:rsidR="003509B1" w:rsidRPr="00D268F6" w:rsidRDefault="003509B1" w:rsidP="00A61629">
      <w:pPr>
        <w:overflowPunct/>
        <w:autoSpaceDE/>
        <w:autoSpaceDN/>
        <w:adjustRightInd/>
        <w:spacing w:after="200" w:line="276" w:lineRule="auto"/>
        <w:ind w:left="181"/>
        <w:jc w:val="both"/>
        <w:textAlignment w:val="auto"/>
        <w:rPr>
          <w:rFonts w:eastAsia="Calibri" w:cs="Arial"/>
          <w:sz w:val="22"/>
          <w:szCs w:val="22"/>
          <w:lang w:val="en-GB"/>
        </w:rPr>
      </w:pPr>
      <w:r>
        <w:rPr>
          <w:rFonts w:eastAsia="Calibri" w:cs="Arial"/>
          <w:sz w:val="22"/>
          <w:szCs w:val="22"/>
          <w:lang w:val="en-GB"/>
        </w:rPr>
        <w:t xml:space="preserve">Many </w:t>
      </w:r>
      <w:r w:rsidRPr="00D268F6">
        <w:rPr>
          <w:rFonts w:eastAsia="Calibri" w:cs="Arial"/>
          <w:sz w:val="22"/>
          <w:szCs w:val="22"/>
          <w:lang w:val="en-GB"/>
        </w:rPr>
        <w:t xml:space="preserve">Public </w:t>
      </w:r>
      <w:r>
        <w:rPr>
          <w:rFonts w:eastAsia="Calibri" w:cs="Arial"/>
          <w:sz w:val="22"/>
          <w:szCs w:val="22"/>
          <w:lang w:val="en-GB"/>
        </w:rPr>
        <w:t>H</w:t>
      </w:r>
      <w:r w:rsidRPr="00D268F6">
        <w:rPr>
          <w:rFonts w:eastAsia="Calibri" w:cs="Arial"/>
          <w:sz w:val="22"/>
          <w:szCs w:val="22"/>
          <w:lang w:val="en-GB"/>
        </w:rPr>
        <w:t xml:space="preserve">ealth services are by nature preventative and geared to early intervention. The benefits to individuals far outweigh the costs of the prevention activity and </w:t>
      </w:r>
      <w:r>
        <w:rPr>
          <w:rFonts w:eastAsia="Calibri" w:cs="Arial"/>
          <w:sz w:val="22"/>
          <w:szCs w:val="22"/>
          <w:lang w:val="en-GB"/>
        </w:rPr>
        <w:t xml:space="preserve">may </w:t>
      </w:r>
      <w:r w:rsidRPr="00D268F6">
        <w:rPr>
          <w:rFonts w:eastAsia="Calibri" w:cs="Arial"/>
          <w:sz w:val="22"/>
          <w:szCs w:val="22"/>
          <w:lang w:val="en-GB"/>
        </w:rPr>
        <w:t xml:space="preserve">prevent future expenditure including both health and social care costs. Many public health services have wider economic benefits. </w:t>
      </w:r>
      <w:r w:rsidR="00C55C10">
        <w:rPr>
          <w:rFonts w:eastAsia="Calibri" w:cs="Arial"/>
          <w:sz w:val="22"/>
          <w:szCs w:val="22"/>
          <w:lang w:val="en-GB"/>
        </w:rPr>
        <w:t>For example, every £1 spent on smoking cessation saves around £10 in lifetime health care costs and health gains, according NICE estimates</w:t>
      </w:r>
      <w:r w:rsidR="00C55C10">
        <w:rPr>
          <w:rStyle w:val="FootnoteReference"/>
          <w:rFonts w:eastAsia="Calibri" w:cs="Arial"/>
          <w:sz w:val="22"/>
          <w:szCs w:val="22"/>
          <w:lang w:val="en-GB"/>
        </w:rPr>
        <w:footnoteReference w:id="3"/>
      </w:r>
      <w:r w:rsidR="00C55C10">
        <w:rPr>
          <w:rFonts w:eastAsia="Calibri" w:cs="Arial"/>
          <w:sz w:val="22"/>
          <w:szCs w:val="22"/>
          <w:lang w:val="en-GB"/>
        </w:rPr>
        <w:t xml:space="preserve">. </w:t>
      </w:r>
    </w:p>
    <w:p w:rsidR="003509B1" w:rsidRDefault="003509B1" w:rsidP="00A61629">
      <w:pPr>
        <w:overflowPunct/>
        <w:autoSpaceDE/>
        <w:autoSpaceDN/>
        <w:adjustRightInd/>
        <w:spacing w:after="200" w:line="276" w:lineRule="auto"/>
        <w:ind w:left="181"/>
        <w:jc w:val="both"/>
        <w:textAlignment w:val="auto"/>
        <w:rPr>
          <w:rFonts w:eastAsia="Calibri" w:cs="Arial"/>
          <w:sz w:val="22"/>
          <w:szCs w:val="22"/>
          <w:lang w:val="en-GB"/>
        </w:rPr>
      </w:pPr>
      <w:r>
        <w:rPr>
          <w:rFonts w:eastAsia="Calibri" w:cs="Arial"/>
          <w:sz w:val="22"/>
          <w:szCs w:val="22"/>
          <w:lang w:val="en-GB"/>
        </w:rPr>
        <w:t xml:space="preserve">As part of this commissioning strategy economic, environmental and social benefits will be considered </w:t>
      </w:r>
      <w:r w:rsidRPr="00D268F6">
        <w:rPr>
          <w:rFonts w:eastAsia="Calibri" w:cs="Arial"/>
          <w:sz w:val="22"/>
          <w:szCs w:val="22"/>
          <w:lang w:val="en-GB"/>
        </w:rPr>
        <w:t xml:space="preserve">by appropriately </w:t>
      </w:r>
      <w:r>
        <w:rPr>
          <w:rFonts w:eastAsia="Calibri" w:cs="Arial"/>
          <w:sz w:val="22"/>
          <w:szCs w:val="22"/>
          <w:lang w:val="en-GB"/>
        </w:rPr>
        <w:t xml:space="preserve">using techniques such as </w:t>
      </w:r>
      <w:r w:rsidRPr="00D268F6">
        <w:rPr>
          <w:rFonts w:eastAsia="Calibri" w:cs="Arial"/>
          <w:sz w:val="22"/>
          <w:szCs w:val="22"/>
          <w:lang w:val="en-GB"/>
        </w:rPr>
        <w:t>Social Return on Investment</w:t>
      </w:r>
      <w:r>
        <w:rPr>
          <w:rFonts w:eastAsia="Calibri" w:cs="Arial"/>
          <w:sz w:val="22"/>
          <w:szCs w:val="22"/>
          <w:lang w:val="en-GB"/>
        </w:rPr>
        <w:t xml:space="preserve">. These techniques will be applied at the pre-procurement stage to ensure this commissioning </w:t>
      </w:r>
      <w:r>
        <w:rPr>
          <w:rFonts w:eastAsia="Calibri" w:cs="Arial"/>
          <w:sz w:val="22"/>
          <w:szCs w:val="22"/>
          <w:lang w:val="en-GB"/>
        </w:rPr>
        <w:lastRenderedPageBreak/>
        <w:t>approach takes account of the Social Value as defined by the Local Services (Social Value) Act 2013.</w:t>
      </w:r>
    </w:p>
    <w:p w:rsidR="003509B1" w:rsidRDefault="003509B1" w:rsidP="00A61629">
      <w:pPr>
        <w:overflowPunct/>
        <w:autoSpaceDE/>
        <w:autoSpaceDN/>
        <w:adjustRightInd/>
        <w:spacing w:after="200" w:line="276" w:lineRule="auto"/>
        <w:ind w:left="181"/>
        <w:jc w:val="both"/>
        <w:textAlignment w:val="auto"/>
        <w:rPr>
          <w:rFonts w:eastAsia="Calibri" w:cs="Arial"/>
          <w:sz w:val="22"/>
          <w:szCs w:val="22"/>
          <w:lang w:val="en-GB"/>
        </w:rPr>
      </w:pPr>
      <w:r>
        <w:rPr>
          <w:rFonts w:eastAsia="Calibri" w:cs="Arial"/>
          <w:sz w:val="22"/>
          <w:szCs w:val="22"/>
          <w:lang w:val="en-GB"/>
        </w:rPr>
        <w:t xml:space="preserve">The Public Health </w:t>
      </w:r>
      <w:r w:rsidR="00340162">
        <w:rPr>
          <w:rFonts w:eastAsia="Calibri" w:cs="Arial"/>
          <w:sz w:val="22"/>
          <w:szCs w:val="22"/>
          <w:lang w:val="en-GB"/>
        </w:rPr>
        <w:t>t</w:t>
      </w:r>
      <w:r w:rsidR="00C55C10">
        <w:rPr>
          <w:rFonts w:eastAsia="Calibri" w:cs="Arial"/>
          <w:sz w:val="22"/>
          <w:szCs w:val="22"/>
          <w:lang w:val="en-GB"/>
        </w:rPr>
        <w:t xml:space="preserve">eam </w:t>
      </w:r>
      <w:r>
        <w:rPr>
          <w:rFonts w:eastAsia="Calibri" w:cs="Arial"/>
          <w:sz w:val="22"/>
          <w:szCs w:val="22"/>
          <w:lang w:val="en-GB"/>
        </w:rPr>
        <w:t>will also explore the potential of working with providers who pay a ‘living wage’.</w:t>
      </w:r>
    </w:p>
    <w:p w:rsidR="000613F5" w:rsidRDefault="000613F5" w:rsidP="001D4F05">
      <w:pPr>
        <w:overflowPunct/>
        <w:autoSpaceDE/>
        <w:autoSpaceDN/>
        <w:adjustRightInd/>
        <w:spacing w:after="200"/>
        <w:ind w:left="180"/>
        <w:textAlignment w:val="auto"/>
        <w:rPr>
          <w:rFonts w:eastAsia="Calibri" w:cs="Arial"/>
          <w:sz w:val="22"/>
          <w:szCs w:val="22"/>
          <w:lang w:val="en-GB"/>
        </w:rPr>
      </w:pPr>
    </w:p>
    <w:p w:rsidR="003509B1" w:rsidRDefault="00341D2C" w:rsidP="001D4F05">
      <w:pPr>
        <w:pStyle w:val="Heading2"/>
      </w:pPr>
      <w:bookmarkStart w:id="11" w:name="_Toc483994449"/>
      <w:r>
        <w:t>2.6</w:t>
      </w:r>
      <w:r>
        <w:tab/>
      </w:r>
      <w:r w:rsidR="003509B1">
        <w:t>Principle 7: Value for Money</w:t>
      </w:r>
      <w:bookmarkEnd w:id="11"/>
    </w:p>
    <w:p w:rsidR="003509B1" w:rsidRDefault="003509B1" w:rsidP="001D4F05">
      <w:pPr>
        <w:overflowPunct/>
        <w:autoSpaceDE/>
        <w:autoSpaceDN/>
        <w:adjustRightInd/>
        <w:spacing w:after="200"/>
        <w:ind w:left="180"/>
        <w:textAlignment w:val="auto"/>
        <w:rPr>
          <w:rFonts w:eastAsia="Calibri" w:cs="Arial"/>
          <w:sz w:val="22"/>
          <w:szCs w:val="22"/>
          <w:lang w:val="en-GB"/>
        </w:rPr>
      </w:pPr>
    </w:p>
    <w:p w:rsidR="009B6AED" w:rsidRDefault="009B6AED" w:rsidP="00A61629">
      <w:pPr>
        <w:spacing w:line="276" w:lineRule="auto"/>
        <w:jc w:val="both"/>
        <w:rPr>
          <w:sz w:val="23"/>
          <w:szCs w:val="23"/>
        </w:rPr>
      </w:pPr>
      <w:r>
        <w:rPr>
          <w:sz w:val="23"/>
          <w:szCs w:val="23"/>
        </w:rPr>
        <w:t>Table</w:t>
      </w:r>
      <w:r w:rsidRPr="002C1569">
        <w:rPr>
          <w:sz w:val="23"/>
          <w:szCs w:val="23"/>
        </w:rPr>
        <w:t xml:space="preserve"> </w:t>
      </w:r>
      <w:r w:rsidR="000A1B52">
        <w:rPr>
          <w:sz w:val="23"/>
          <w:szCs w:val="23"/>
        </w:rPr>
        <w:t>2</w:t>
      </w:r>
      <w:r w:rsidRPr="002C1569">
        <w:rPr>
          <w:sz w:val="23"/>
          <w:szCs w:val="23"/>
        </w:rPr>
        <w:t xml:space="preserve"> </w:t>
      </w:r>
      <w:proofErr w:type="spellStart"/>
      <w:r w:rsidRPr="002C1569">
        <w:rPr>
          <w:sz w:val="23"/>
          <w:szCs w:val="23"/>
        </w:rPr>
        <w:t>summarises</w:t>
      </w:r>
      <w:proofErr w:type="spellEnd"/>
      <w:r w:rsidRPr="002C1569">
        <w:rPr>
          <w:sz w:val="23"/>
          <w:szCs w:val="23"/>
        </w:rPr>
        <w:t xml:space="preserve"> the public health</w:t>
      </w:r>
      <w:r>
        <w:rPr>
          <w:sz w:val="23"/>
          <w:szCs w:val="23"/>
        </w:rPr>
        <w:t xml:space="preserve"> grant allocation for LAs in Yorkshire and the Humber</w:t>
      </w:r>
      <w:r w:rsidRPr="002C1569">
        <w:rPr>
          <w:sz w:val="23"/>
          <w:szCs w:val="23"/>
        </w:rPr>
        <w:t>. Across the region, the 2016/17 allocati</w:t>
      </w:r>
      <w:r>
        <w:rPr>
          <w:sz w:val="23"/>
          <w:szCs w:val="23"/>
        </w:rPr>
        <w:t>on per head of population varied</w:t>
      </w:r>
      <w:r w:rsidRPr="002C1569">
        <w:rPr>
          <w:sz w:val="23"/>
          <w:szCs w:val="23"/>
        </w:rPr>
        <w:t xml:space="preserve"> from £</w:t>
      </w:r>
      <w:r>
        <w:rPr>
          <w:sz w:val="23"/>
          <w:szCs w:val="23"/>
        </w:rPr>
        <w:t>32.8</w:t>
      </w:r>
      <w:r w:rsidRPr="002C1569">
        <w:rPr>
          <w:sz w:val="23"/>
          <w:szCs w:val="23"/>
        </w:rPr>
        <w:t xml:space="preserve"> per head to £</w:t>
      </w:r>
      <w:r>
        <w:rPr>
          <w:sz w:val="23"/>
          <w:szCs w:val="23"/>
        </w:rPr>
        <w:t>97</w:t>
      </w:r>
      <w:r w:rsidRPr="002C1569">
        <w:rPr>
          <w:sz w:val="23"/>
          <w:szCs w:val="23"/>
        </w:rPr>
        <w:t xml:space="preserve"> per head reflecting the funding allocation formula</w:t>
      </w:r>
      <w:r>
        <w:rPr>
          <w:sz w:val="23"/>
          <w:szCs w:val="23"/>
        </w:rPr>
        <w:t>, while Doncaster allocation was £80.2; and a total public health budget allocation was £25 million</w:t>
      </w:r>
      <w:r w:rsidRPr="002C1569">
        <w:rPr>
          <w:sz w:val="23"/>
          <w:szCs w:val="23"/>
        </w:rPr>
        <w:t xml:space="preserve">.  </w:t>
      </w:r>
    </w:p>
    <w:p w:rsidR="009B6AED" w:rsidRDefault="009B6AED" w:rsidP="009B6AED">
      <w:pPr>
        <w:rPr>
          <w:rFonts w:eastAsia="Calibri"/>
          <w:sz w:val="22"/>
          <w:szCs w:val="22"/>
        </w:rPr>
      </w:pPr>
    </w:p>
    <w:p w:rsidR="009B6AED" w:rsidRDefault="009B6AED" w:rsidP="009B6AED">
      <w:pPr>
        <w:pStyle w:val="PHEBodycopy"/>
        <w:rPr>
          <w:sz w:val="23"/>
          <w:szCs w:val="23"/>
        </w:rPr>
      </w:pPr>
      <w:r>
        <w:rPr>
          <w:b/>
          <w:sz w:val="23"/>
          <w:szCs w:val="23"/>
        </w:rPr>
        <w:t>Table</w:t>
      </w:r>
      <w:r w:rsidR="000A1B52">
        <w:rPr>
          <w:b/>
          <w:sz w:val="23"/>
          <w:szCs w:val="23"/>
        </w:rPr>
        <w:t xml:space="preserve"> 2</w:t>
      </w:r>
      <w:r w:rsidRPr="002C1569">
        <w:rPr>
          <w:b/>
          <w:sz w:val="23"/>
          <w:szCs w:val="23"/>
        </w:rPr>
        <w:t xml:space="preserve">: </w:t>
      </w:r>
      <w:r w:rsidRPr="00DF2A7D">
        <w:rPr>
          <w:sz w:val="23"/>
          <w:szCs w:val="23"/>
        </w:rPr>
        <w:t>Summary of Public Health allocation</w:t>
      </w:r>
      <w:r w:rsidR="00DF2A7D">
        <w:rPr>
          <w:sz w:val="23"/>
          <w:szCs w:val="23"/>
        </w:rPr>
        <w:t xml:space="preserve"> by local authorities in Yorkshire and the Humber in 2016/17</w:t>
      </w:r>
    </w:p>
    <w:p w:rsidR="00A61629" w:rsidRPr="00F862F4" w:rsidRDefault="00A61629" w:rsidP="009B6AED">
      <w:pPr>
        <w:pStyle w:val="PHEBodycopy"/>
        <w:rPr>
          <w:b/>
          <w:sz w:val="23"/>
          <w:szCs w:val="23"/>
        </w:rPr>
      </w:pPr>
    </w:p>
    <w:tbl>
      <w:tblPr>
        <w:tblW w:w="33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469"/>
        <w:gridCol w:w="1562"/>
        <w:gridCol w:w="2049"/>
      </w:tblGrid>
      <w:tr w:rsidR="00D60C50" w:rsidRPr="002752B5" w:rsidTr="00D60C50">
        <w:trPr>
          <w:trHeight w:val="227"/>
        </w:trPr>
        <w:tc>
          <w:tcPr>
            <w:tcW w:w="2030" w:type="pct"/>
            <w:shd w:val="clear" w:color="auto" w:fill="BFBFBF" w:themeFill="background1" w:themeFillShade="BF"/>
            <w:noWrap/>
            <w:hideMark/>
          </w:tcPr>
          <w:p w:rsidR="00D60C50" w:rsidRPr="002752B5" w:rsidRDefault="00D60C50" w:rsidP="00E535C8">
            <w:pPr>
              <w:jc w:val="center"/>
              <w:rPr>
                <w:rFonts w:cs="Arial"/>
                <w:b/>
                <w:sz w:val="22"/>
                <w:szCs w:val="22"/>
                <w:lang w:eastAsia="en-GB"/>
              </w:rPr>
            </w:pPr>
            <w:r w:rsidRPr="002752B5">
              <w:rPr>
                <w:rFonts w:cs="Arial"/>
                <w:b/>
                <w:sz w:val="22"/>
                <w:szCs w:val="22"/>
                <w:lang w:eastAsia="en-GB"/>
              </w:rPr>
              <w:t xml:space="preserve">Figures in </w:t>
            </w:r>
          </w:p>
          <w:p w:rsidR="00D60C50" w:rsidRPr="002752B5" w:rsidRDefault="00D60C50" w:rsidP="00E535C8">
            <w:pPr>
              <w:jc w:val="center"/>
              <w:rPr>
                <w:rFonts w:cs="Arial"/>
                <w:b/>
                <w:sz w:val="22"/>
                <w:szCs w:val="22"/>
                <w:lang w:eastAsia="en-GB"/>
              </w:rPr>
            </w:pPr>
            <w:r w:rsidRPr="002752B5">
              <w:rPr>
                <w:rFonts w:cs="Arial"/>
                <w:b/>
                <w:sz w:val="22"/>
                <w:szCs w:val="22"/>
                <w:lang w:eastAsia="en-GB"/>
              </w:rPr>
              <w:t>(£‘000s)</w:t>
            </w:r>
          </w:p>
        </w:tc>
        <w:tc>
          <w:tcPr>
            <w:tcW w:w="1284" w:type="pct"/>
            <w:shd w:val="clear" w:color="auto" w:fill="BFBFBF" w:themeFill="background1" w:themeFillShade="BF"/>
            <w:noWrap/>
            <w:hideMark/>
          </w:tcPr>
          <w:p w:rsidR="00D60C50" w:rsidRPr="002752B5" w:rsidRDefault="00D60C50" w:rsidP="00E535C8">
            <w:pPr>
              <w:jc w:val="center"/>
              <w:rPr>
                <w:rFonts w:cs="Arial"/>
                <w:b/>
                <w:sz w:val="22"/>
                <w:szCs w:val="22"/>
                <w:lang w:eastAsia="en-GB"/>
              </w:rPr>
            </w:pPr>
            <w:r w:rsidRPr="002752B5">
              <w:rPr>
                <w:rFonts w:cs="Arial"/>
                <w:b/>
                <w:sz w:val="22"/>
                <w:szCs w:val="22"/>
                <w:lang w:eastAsia="en-GB"/>
              </w:rPr>
              <w:t>2016-17 Total allocation</w:t>
            </w:r>
          </w:p>
          <w:p w:rsidR="00D60C50" w:rsidRPr="002752B5" w:rsidRDefault="00D60C50" w:rsidP="00E535C8">
            <w:pPr>
              <w:jc w:val="center"/>
              <w:rPr>
                <w:rFonts w:cs="Arial"/>
                <w:b/>
                <w:sz w:val="22"/>
                <w:szCs w:val="22"/>
                <w:lang w:eastAsia="en-GB"/>
              </w:rPr>
            </w:pPr>
            <w:r w:rsidRPr="002752B5">
              <w:rPr>
                <w:rFonts w:cs="Arial"/>
                <w:b/>
                <w:sz w:val="22"/>
                <w:szCs w:val="22"/>
                <w:lang w:eastAsia="en-GB"/>
              </w:rPr>
              <w:t xml:space="preserve"> (incl. 0-5)</w:t>
            </w:r>
          </w:p>
        </w:tc>
        <w:tc>
          <w:tcPr>
            <w:tcW w:w="1685" w:type="pct"/>
            <w:shd w:val="clear" w:color="auto" w:fill="BFBFBF" w:themeFill="background1" w:themeFillShade="BF"/>
            <w:noWrap/>
            <w:hideMark/>
          </w:tcPr>
          <w:p w:rsidR="00D60C50" w:rsidRPr="002752B5" w:rsidRDefault="00D60C50" w:rsidP="00E535C8">
            <w:pPr>
              <w:jc w:val="center"/>
              <w:rPr>
                <w:rFonts w:cs="Arial"/>
                <w:b/>
                <w:sz w:val="22"/>
                <w:szCs w:val="22"/>
                <w:lang w:eastAsia="en-GB"/>
              </w:rPr>
            </w:pPr>
            <w:r w:rsidRPr="002752B5">
              <w:rPr>
                <w:rFonts w:cs="Arial"/>
                <w:b/>
                <w:sz w:val="22"/>
                <w:szCs w:val="22"/>
                <w:lang w:eastAsia="en-GB"/>
              </w:rPr>
              <w:t>2016-17 Total allocation per head (2015 MYE*)</w:t>
            </w:r>
          </w:p>
        </w:tc>
      </w:tr>
      <w:tr w:rsidR="00D60C50" w:rsidRPr="002752B5" w:rsidTr="00D60C50">
        <w:trPr>
          <w:trHeight w:val="227"/>
        </w:trPr>
        <w:tc>
          <w:tcPr>
            <w:tcW w:w="2030" w:type="pct"/>
            <w:shd w:val="clear" w:color="auto" w:fill="auto"/>
            <w:noWrap/>
            <w:vAlign w:val="bottom"/>
            <w:hideMark/>
          </w:tcPr>
          <w:p w:rsidR="00D60C50" w:rsidRPr="002752B5" w:rsidRDefault="00D60C50" w:rsidP="00E535C8">
            <w:pPr>
              <w:rPr>
                <w:rFonts w:cs="Arial"/>
                <w:b/>
                <w:color w:val="000000"/>
                <w:sz w:val="22"/>
                <w:szCs w:val="22"/>
                <w:lang w:eastAsia="en-GB"/>
              </w:rPr>
            </w:pPr>
            <w:r w:rsidRPr="002752B5">
              <w:rPr>
                <w:rFonts w:cs="Arial"/>
                <w:b/>
                <w:color w:val="000000"/>
                <w:sz w:val="22"/>
                <w:szCs w:val="22"/>
                <w:lang w:eastAsia="en-GB"/>
              </w:rPr>
              <w:t>England</w:t>
            </w:r>
          </w:p>
        </w:tc>
        <w:tc>
          <w:tcPr>
            <w:tcW w:w="1284" w:type="pct"/>
            <w:shd w:val="clear" w:color="auto" w:fill="auto"/>
            <w:noWrap/>
            <w:vAlign w:val="center"/>
            <w:hideMark/>
          </w:tcPr>
          <w:p w:rsidR="00D60C50" w:rsidRPr="002752B5" w:rsidRDefault="00D60C50" w:rsidP="00E535C8">
            <w:pPr>
              <w:jc w:val="right"/>
              <w:rPr>
                <w:rFonts w:cs="Arial"/>
                <w:b/>
                <w:sz w:val="22"/>
                <w:szCs w:val="22"/>
              </w:rPr>
            </w:pPr>
            <w:r w:rsidRPr="002752B5">
              <w:rPr>
                <w:rFonts w:cs="Arial"/>
                <w:b/>
                <w:sz w:val="22"/>
                <w:szCs w:val="22"/>
              </w:rPr>
              <w:t xml:space="preserve"> 3,387,460 </w:t>
            </w:r>
          </w:p>
        </w:tc>
        <w:tc>
          <w:tcPr>
            <w:tcW w:w="1685" w:type="pct"/>
            <w:shd w:val="clear" w:color="auto" w:fill="auto"/>
            <w:noWrap/>
            <w:vAlign w:val="center"/>
            <w:hideMark/>
          </w:tcPr>
          <w:p w:rsidR="00D60C50" w:rsidRPr="002752B5" w:rsidRDefault="00D60C50" w:rsidP="00E535C8">
            <w:pPr>
              <w:jc w:val="right"/>
              <w:rPr>
                <w:rFonts w:cs="Arial"/>
                <w:b/>
                <w:color w:val="000000"/>
                <w:sz w:val="22"/>
                <w:szCs w:val="22"/>
                <w:lang w:eastAsia="en-GB"/>
              </w:rPr>
            </w:pPr>
            <w:r w:rsidRPr="002752B5">
              <w:rPr>
                <w:rFonts w:cs="Arial"/>
                <w:b/>
                <w:color w:val="000000"/>
                <w:sz w:val="22"/>
                <w:szCs w:val="22"/>
                <w:lang w:eastAsia="en-GB"/>
              </w:rPr>
              <w:t>61.8</w:t>
            </w:r>
          </w:p>
        </w:tc>
      </w:tr>
      <w:tr w:rsidR="00D60C50" w:rsidRPr="002752B5" w:rsidTr="00D60C50">
        <w:trPr>
          <w:trHeight w:val="227"/>
        </w:trPr>
        <w:tc>
          <w:tcPr>
            <w:tcW w:w="2030" w:type="pct"/>
            <w:shd w:val="clear" w:color="auto" w:fill="auto"/>
            <w:noWrap/>
            <w:vAlign w:val="bottom"/>
            <w:hideMark/>
          </w:tcPr>
          <w:p w:rsidR="00D60C50" w:rsidRPr="002752B5" w:rsidRDefault="00D60C50" w:rsidP="00E535C8">
            <w:pPr>
              <w:rPr>
                <w:rFonts w:cs="Arial"/>
                <w:b/>
                <w:color w:val="000000"/>
                <w:sz w:val="22"/>
                <w:szCs w:val="22"/>
                <w:lang w:eastAsia="en-GB"/>
              </w:rPr>
            </w:pPr>
            <w:r w:rsidRPr="002752B5">
              <w:rPr>
                <w:rFonts w:cs="Arial"/>
                <w:b/>
                <w:color w:val="000000"/>
                <w:sz w:val="22"/>
                <w:szCs w:val="22"/>
                <w:lang w:eastAsia="en-GB"/>
              </w:rPr>
              <w:t>Yorkshire and Humber</w:t>
            </w:r>
          </w:p>
        </w:tc>
        <w:tc>
          <w:tcPr>
            <w:tcW w:w="1284" w:type="pct"/>
            <w:shd w:val="clear" w:color="auto" w:fill="auto"/>
            <w:noWrap/>
          </w:tcPr>
          <w:p w:rsidR="00D60C50" w:rsidRPr="002752B5" w:rsidRDefault="00D60C50" w:rsidP="00E535C8">
            <w:pPr>
              <w:jc w:val="right"/>
              <w:rPr>
                <w:rFonts w:cs="Arial"/>
                <w:b/>
                <w:sz w:val="22"/>
                <w:szCs w:val="22"/>
              </w:rPr>
            </w:pPr>
            <w:r w:rsidRPr="002752B5">
              <w:rPr>
                <w:rFonts w:cs="Arial"/>
                <w:b/>
                <w:sz w:val="22"/>
                <w:szCs w:val="22"/>
              </w:rPr>
              <w:t>342,530 (10%)</w:t>
            </w:r>
          </w:p>
          <w:p w:rsidR="00D60C50" w:rsidRPr="002752B5" w:rsidRDefault="00D60C50" w:rsidP="00E535C8">
            <w:pPr>
              <w:jc w:val="right"/>
              <w:rPr>
                <w:rFonts w:cs="Arial"/>
                <w:b/>
                <w:sz w:val="22"/>
                <w:szCs w:val="22"/>
              </w:rPr>
            </w:pPr>
          </w:p>
        </w:tc>
        <w:tc>
          <w:tcPr>
            <w:tcW w:w="1685" w:type="pct"/>
            <w:shd w:val="clear" w:color="auto" w:fill="auto"/>
            <w:noWrap/>
            <w:vAlign w:val="center"/>
          </w:tcPr>
          <w:p w:rsidR="00D60C50" w:rsidRPr="002752B5" w:rsidRDefault="00D60C50" w:rsidP="00E535C8">
            <w:pPr>
              <w:jc w:val="right"/>
              <w:rPr>
                <w:rFonts w:cs="Arial"/>
                <w:b/>
                <w:color w:val="000000"/>
                <w:sz w:val="22"/>
                <w:szCs w:val="22"/>
                <w:lang w:eastAsia="en-GB"/>
              </w:rPr>
            </w:pPr>
            <w:r w:rsidRPr="002752B5">
              <w:rPr>
                <w:rFonts w:cs="Arial"/>
                <w:b/>
                <w:color w:val="000000"/>
                <w:sz w:val="22"/>
                <w:szCs w:val="22"/>
                <w:lang w:eastAsia="en-GB"/>
              </w:rPr>
              <w:t>62.0</w:t>
            </w:r>
          </w:p>
          <w:p w:rsidR="00D60C50" w:rsidRPr="002752B5" w:rsidRDefault="00D60C50" w:rsidP="00E535C8">
            <w:pPr>
              <w:jc w:val="right"/>
              <w:rPr>
                <w:rFonts w:cs="Arial"/>
                <w:b/>
                <w:color w:val="000000"/>
                <w:sz w:val="22"/>
                <w:szCs w:val="22"/>
                <w:lang w:eastAsia="en-GB"/>
              </w:rPr>
            </w:pPr>
          </w:p>
        </w:tc>
      </w:tr>
      <w:tr w:rsidR="00D60C50" w:rsidRPr="002752B5" w:rsidTr="00D60C50">
        <w:trPr>
          <w:trHeight w:val="227"/>
        </w:trPr>
        <w:tc>
          <w:tcPr>
            <w:tcW w:w="2030" w:type="pct"/>
            <w:shd w:val="clear" w:color="auto" w:fill="auto"/>
            <w:noWrap/>
            <w:vAlign w:val="bottom"/>
          </w:tcPr>
          <w:p w:rsidR="00D60C50" w:rsidRPr="002752B5" w:rsidRDefault="00D60C50" w:rsidP="00E535C8">
            <w:pPr>
              <w:rPr>
                <w:rFonts w:cs="Arial"/>
                <w:bCs/>
                <w:sz w:val="22"/>
                <w:szCs w:val="22"/>
              </w:rPr>
            </w:pPr>
            <w:proofErr w:type="spellStart"/>
            <w:r w:rsidRPr="002752B5">
              <w:rPr>
                <w:rFonts w:cs="Arial"/>
                <w:bCs/>
                <w:sz w:val="22"/>
                <w:szCs w:val="22"/>
              </w:rPr>
              <w:t>Barnsley</w:t>
            </w:r>
            <w:proofErr w:type="spellEnd"/>
          </w:p>
        </w:tc>
        <w:tc>
          <w:tcPr>
            <w:tcW w:w="1284" w:type="pct"/>
            <w:shd w:val="clear" w:color="auto" w:fill="auto"/>
            <w:noWrap/>
            <w:vAlign w:val="bottom"/>
          </w:tcPr>
          <w:p w:rsidR="00D60C50" w:rsidRPr="002752B5" w:rsidRDefault="00D60C50" w:rsidP="00E535C8">
            <w:pPr>
              <w:jc w:val="right"/>
              <w:rPr>
                <w:rFonts w:cs="Arial"/>
                <w:color w:val="000000"/>
                <w:sz w:val="22"/>
                <w:szCs w:val="22"/>
              </w:rPr>
            </w:pPr>
            <w:r w:rsidRPr="002752B5">
              <w:rPr>
                <w:rFonts w:cs="Arial"/>
                <w:color w:val="000000"/>
                <w:sz w:val="22"/>
                <w:szCs w:val="22"/>
              </w:rPr>
              <w:t xml:space="preserve"> 17,888 </w:t>
            </w:r>
          </w:p>
        </w:tc>
        <w:tc>
          <w:tcPr>
            <w:tcW w:w="1685" w:type="pct"/>
            <w:shd w:val="clear" w:color="auto" w:fill="auto"/>
            <w:noWrap/>
            <w:vAlign w:val="bottom"/>
          </w:tcPr>
          <w:p w:rsidR="00D60C50" w:rsidRPr="002752B5" w:rsidRDefault="00D60C50" w:rsidP="002752B5">
            <w:pPr>
              <w:ind w:firstLineChars="200" w:firstLine="440"/>
              <w:jc w:val="right"/>
              <w:rPr>
                <w:rFonts w:cs="Arial"/>
                <w:color w:val="000000"/>
                <w:sz w:val="22"/>
                <w:szCs w:val="22"/>
              </w:rPr>
            </w:pPr>
            <w:r w:rsidRPr="002752B5">
              <w:rPr>
                <w:rFonts w:cs="Arial"/>
                <w:color w:val="000000"/>
                <w:sz w:val="22"/>
                <w:szCs w:val="22"/>
              </w:rPr>
              <w:t>72.9</w:t>
            </w:r>
          </w:p>
        </w:tc>
      </w:tr>
      <w:tr w:rsidR="00D60C50" w:rsidRPr="002752B5" w:rsidTr="00D60C50">
        <w:trPr>
          <w:trHeight w:val="227"/>
        </w:trPr>
        <w:tc>
          <w:tcPr>
            <w:tcW w:w="2030" w:type="pct"/>
            <w:shd w:val="clear" w:color="auto" w:fill="auto"/>
            <w:noWrap/>
            <w:vAlign w:val="bottom"/>
          </w:tcPr>
          <w:p w:rsidR="00D60C50" w:rsidRPr="002752B5" w:rsidRDefault="00D60C50" w:rsidP="00E535C8">
            <w:pPr>
              <w:rPr>
                <w:rFonts w:cs="Arial"/>
                <w:bCs/>
                <w:sz w:val="22"/>
                <w:szCs w:val="22"/>
              </w:rPr>
            </w:pPr>
            <w:r w:rsidRPr="002752B5">
              <w:rPr>
                <w:rFonts w:cs="Arial"/>
                <w:bCs/>
                <w:sz w:val="22"/>
                <w:szCs w:val="22"/>
              </w:rPr>
              <w:t>Bradford</w:t>
            </w:r>
          </w:p>
        </w:tc>
        <w:tc>
          <w:tcPr>
            <w:tcW w:w="1284" w:type="pct"/>
            <w:shd w:val="clear" w:color="auto" w:fill="auto"/>
            <w:noWrap/>
            <w:vAlign w:val="bottom"/>
          </w:tcPr>
          <w:p w:rsidR="00D60C50" w:rsidRPr="002752B5" w:rsidRDefault="00D60C50" w:rsidP="00E535C8">
            <w:pPr>
              <w:jc w:val="right"/>
              <w:rPr>
                <w:rFonts w:cs="Arial"/>
                <w:color w:val="000000"/>
                <w:sz w:val="22"/>
                <w:szCs w:val="22"/>
              </w:rPr>
            </w:pPr>
            <w:r w:rsidRPr="002752B5">
              <w:rPr>
                <w:rFonts w:cs="Arial"/>
                <w:color w:val="000000"/>
                <w:sz w:val="22"/>
                <w:szCs w:val="22"/>
              </w:rPr>
              <w:t xml:space="preserve">44,015 </w:t>
            </w:r>
          </w:p>
        </w:tc>
        <w:tc>
          <w:tcPr>
            <w:tcW w:w="1685" w:type="pct"/>
            <w:shd w:val="clear" w:color="auto" w:fill="auto"/>
            <w:noWrap/>
            <w:vAlign w:val="bottom"/>
          </w:tcPr>
          <w:p w:rsidR="00D60C50" w:rsidRPr="002752B5" w:rsidRDefault="00D60C50" w:rsidP="002752B5">
            <w:pPr>
              <w:ind w:firstLineChars="200" w:firstLine="440"/>
              <w:jc w:val="right"/>
              <w:rPr>
                <w:rFonts w:cs="Arial"/>
                <w:color w:val="000000"/>
                <w:sz w:val="22"/>
                <w:szCs w:val="22"/>
              </w:rPr>
            </w:pPr>
            <w:r w:rsidRPr="002752B5">
              <w:rPr>
                <w:rFonts w:cs="Arial"/>
                <w:color w:val="000000"/>
                <w:sz w:val="22"/>
                <w:szCs w:val="22"/>
              </w:rPr>
              <w:t>80.8</w:t>
            </w:r>
          </w:p>
        </w:tc>
      </w:tr>
      <w:tr w:rsidR="00D60C50" w:rsidRPr="002752B5" w:rsidTr="00D60C50">
        <w:trPr>
          <w:trHeight w:val="227"/>
        </w:trPr>
        <w:tc>
          <w:tcPr>
            <w:tcW w:w="2030" w:type="pct"/>
            <w:shd w:val="clear" w:color="auto" w:fill="auto"/>
            <w:noWrap/>
            <w:vAlign w:val="bottom"/>
          </w:tcPr>
          <w:p w:rsidR="00D60C50" w:rsidRPr="002752B5" w:rsidRDefault="00D60C50" w:rsidP="00E535C8">
            <w:pPr>
              <w:rPr>
                <w:rFonts w:cs="Arial"/>
                <w:bCs/>
                <w:sz w:val="22"/>
                <w:szCs w:val="22"/>
              </w:rPr>
            </w:pPr>
            <w:proofErr w:type="spellStart"/>
            <w:r w:rsidRPr="002752B5">
              <w:rPr>
                <w:rFonts w:cs="Arial"/>
                <w:bCs/>
                <w:sz w:val="22"/>
                <w:szCs w:val="22"/>
              </w:rPr>
              <w:t>Calderdale</w:t>
            </w:r>
            <w:proofErr w:type="spellEnd"/>
          </w:p>
        </w:tc>
        <w:tc>
          <w:tcPr>
            <w:tcW w:w="1284" w:type="pct"/>
            <w:shd w:val="clear" w:color="auto" w:fill="auto"/>
            <w:noWrap/>
            <w:vAlign w:val="bottom"/>
          </w:tcPr>
          <w:p w:rsidR="00D60C50" w:rsidRPr="002752B5" w:rsidRDefault="00D60C50" w:rsidP="00E535C8">
            <w:pPr>
              <w:jc w:val="right"/>
              <w:rPr>
                <w:rFonts w:cs="Arial"/>
                <w:color w:val="000000"/>
                <w:sz w:val="22"/>
                <w:szCs w:val="22"/>
              </w:rPr>
            </w:pPr>
            <w:r w:rsidRPr="002752B5">
              <w:rPr>
                <w:rFonts w:cs="Arial"/>
                <w:color w:val="000000"/>
                <w:sz w:val="22"/>
                <w:szCs w:val="22"/>
              </w:rPr>
              <w:t xml:space="preserve">13,940 </w:t>
            </w:r>
          </w:p>
        </w:tc>
        <w:tc>
          <w:tcPr>
            <w:tcW w:w="1685" w:type="pct"/>
            <w:shd w:val="clear" w:color="auto" w:fill="auto"/>
            <w:noWrap/>
            <w:vAlign w:val="bottom"/>
          </w:tcPr>
          <w:p w:rsidR="00D60C50" w:rsidRPr="002752B5" w:rsidRDefault="00D60C50" w:rsidP="002752B5">
            <w:pPr>
              <w:ind w:firstLineChars="200" w:firstLine="440"/>
              <w:jc w:val="right"/>
              <w:rPr>
                <w:rFonts w:cs="Arial"/>
                <w:color w:val="000000"/>
                <w:sz w:val="22"/>
                <w:szCs w:val="22"/>
              </w:rPr>
            </w:pPr>
            <w:r w:rsidRPr="002752B5">
              <w:rPr>
                <w:rFonts w:cs="Arial"/>
                <w:color w:val="000000"/>
                <w:sz w:val="22"/>
                <w:szCs w:val="22"/>
              </w:rPr>
              <w:t>65.2</w:t>
            </w:r>
          </w:p>
        </w:tc>
      </w:tr>
      <w:tr w:rsidR="00D60C50" w:rsidRPr="002752B5" w:rsidTr="00D60C50">
        <w:trPr>
          <w:trHeight w:val="227"/>
        </w:trPr>
        <w:tc>
          <w:tcPr>
            <w:tcW w:w="2030" w:type="pct"/>
            <w:shd w:val="clear" w:color="auto" w:fill="auto"/>
            <w:noWrap/>
            <w:vAlign w:val="bottom"/>
          </w:tcPr>
          <w:p w:rsidR="00D60C50" w:rsidRPr="002752B5" w:rsidRDefault="00D60C50" w:rsidP="00E535C8">
            <w:pPr>
              <w:rPr>
                <w:rFonts w:cs="Arial"/>
                <w:bCs/>
                <w:sz w:val="22"/>
                <w:szCs w:val="22"/>
              </w:rPr>
            </w:pPr>
            <w:r w:rsidRPr="002752B5">
              <w:rPr>
                <w:rFonts w:cs="Arial"/>
                <w:bCs/>
                <w:sz w:val="22"/>
                <w:szCs w:val="22"/>
              </w:rPr>
              <w:t>Doncaster</w:t>
            </w:r>
          </w:p>
        </w:tc>
        <w:tc>
          <w:tcPr>
            <w:tcW w:w="1284" w:type="pct"/>
            <w:shd w:val="clear" w:color="auto" w:fill="auto"/>
            <w:noWrap/>
            <w:vAlign w:val="bottom"/>
          </w:tcPr>
          <w:p w:rsidR="00D60C50" w:rsidRPr="002752B5" w:rsidRDefault="00D60C50" w:rsidP="00E535C8">
            <w:pPr>
              <w:jc w:val="right"/>
              <w:rPr>
                <w:rFonts w:cs="Arial"/>
                <w:color w:val="000000"/>
                <w:sz w:val="22"/>
                <w:szCs w:val="22"/>
              </w:rPr>
            </w:pPr>
            <w:r w:rsidRPr="002752B5">
              <w:rPr>
                <w:rFonts w:cs="Arial"/>
                <w:color w:val="000000"/>
                <w:sz w:val="22"/>
                <w:szCs w:val="22"/>
              </w:rPr>
              <w:t xml:space="preserve">25,055 </w:t>
            </w:r>
          </w:p>
        </w:tc>
        <w:tc>
          <w:tcPr>
            <w:tcW w:w="1685" w:type="pct"/>
            <w:shd w:val="clear" w:color="auto" w:fill="auto"/>
            <w:noWrap/>
            <w:vAlign w:val="bottom"/>
          </w:tcPr>
          <w:p w:rsidR="00D60C50" w:rsidRPr="002752B5" w:rsidRDefault="00D60C50" w:rsidP="002752B5">
            <w:pPr>
              <w:ind w:firstLineChars="200" w:firstLine="440"/>
              <w:jc w:val="right"/>
              <w:rPr>
                <w:rFonts w:cs="Arial"/>
                <w:color w:val="000000"/>
                <w:sz w:val="22"/>
                <w:szCs w:val="22"/>
              </w:rPr>
            </w:pPr>
            <w:r w:rsidRPr="002752B5">
              <w:rPr>
                <w:rFonts w:cs="Arial"/>
                <w:color w:val="000000"/>
                <w:sz w:val="22"/>
                <w:szCs w:val="22"/>
              </w:rPr>
              <w:t>80.2</w:t>
            </w:r>
          </w:p>
        </w:tc>
      </w:tr>
      <w:tr w:rsidR="00D60C50" w:rsidRPr="002752B5" w:rsidTr="00D60C50">
        <w:trPr>
          <w:trHeight w:val="227"/>
        </w:trPr>
        <w:tc>
          <w:tcPr>
            <w:tcW w:w="2030" w:type="pct"/>
            <w:shd w:val="clear" w:color="auto" w:fill="auto"/>
            <w:noWrap/>
            <w:vAlign w:val="bottom"/>
          </w:tcPr>
          <w:p w:rsidR="00D60C50" w:rsidRPr="002752B5" w:rsidRDefault="00D60C50" w:rsidP="00E535C8">
            <w:pPr>
              <w:rPr>
                <w:rFonts w:cs="Arial"/>
                <w:bCs/>
                <w:sz w:val="22"/>
                <w:szCs w:val="22"/>
              </w:rPr>
            </w:pPr>
            <w:r w:rsidRPr="002752B5">
              <w:rPr>
                <w:rFonts w:cs="Arial"/>
                <w:bCs/>
                <w:sz w:val="22"/>
                <w:szCs w:val="22"/>
              </w:rPr>
              <w:t>East Riding of Yorkshire</w:t>
            </w:r>
          </w:p>
        </w:tc>
        <w:tc>
          <w:tcPr>
            <w:tcW w:w="1284" w:type="pct"/>
            <w:shd w:val="clear" w:color="auto" w:fill="auto"/>
            <w:noWrap/>
            <w:vAlign w:val="bottom"/>
          </w:tcPr>
          <w:p w:rsidR="00D60C50" w:rsidRPr="002752B5" w:rsidRDefault="00D60C50" w:rsidP="00E535C8">
            <w:pPr>
              <w:jc w:val="right"/>
              <w:rPr>
                <w:rFonts w:cs="Arial"/>
                <w:color w:val="000000"/>
                <w:sz w:val="22"/>
                <w:szCs w:val="22"/>
              </w:rPr>
            </w:pPr>
            <w:r w:rsidRPr="002752B5">
              <w:rPr>
                <w:rFonts w:cs="Arial"/>
                <w:color w:val="000000"/>
                <w:sz w:val="22"/>
                <w:szCs w:val="22"/>
              </w:rPr>
              <w:t xml:space="preserve">11,322 </w:t>
            </w:r>
          </w:p>
        </w:tc>
        <w:tc>
          <w:tcPr>
            <w:tcW w:w="1685" w:type="pct"/>
            <w:shd w:val="clear" w:color="auto" w:fill="auto"/>
            <w:noWrap/>
            <w:vAlign w:val="bottom"/>
          </w:tcPr>
          <w:p w:rsidR="00D60C50" w:rsidRPr="002752B5" w:rsidRDefault="00D60C50" w:rsidP="002752B5">
            <w:pPr>
              <w:ind w:firstLineChars="200" w:firstLine="440"/>
              <w:jc w:val="right"/>
              <w:rPr>
                <w:rFonts w:cs="Arial"/>
                <w:color w:val="000000"/>
                <w:sz w:val="22"/>
                <w:szCs w:val="22"/>
              </w:rPr>
            </w:pPr>
            <w:r w:rsidRPr="002752B5">
              <w:rPr>
                <w:rFonts w:cs="Arial"/>
                <w:color w:val="000000"/>
                <w:sz w:val="22"/>
                <w:szCs w:val="22"/>
              </w:rPr>
              <w:t>32.8</w:t>
            </w:r>
          </w:p>
        </w:tc>
      </w:tr>
      <w:tr w:rsidR="00D60C50" w:rsidRPr="002752B5" w:rsidTr="00D60C50">
        <w:trPr>
          <w:trHeight w:val="227"/>
        </w:trPr>
        <w:tc>
          <w:tcPr>
            <w:tcW w:w="2030" w:type="pct"/>
            <w:shd w:val="clear" w:color="auto" w:fill="auto"/>
            <w:noWrap/>
            <w:vAlign w:val="bottom"/>
          </w:tcPr>
          <w:p w:rsidR="00D60C50" w:rsidRPr="002752B5" w:rsidRDefault="00D60C50" w:rsidP="00E535C8">
            <w:pPr>
              <w:rPr>
                <w:rFonts w:cs="Arial"/>
                <w:bCs/>
                <w:sz w:val="22"/>
                <w:szCs w:val="22"/>
              </w:rPr>
            </w:pPr>
            <w:r w:rsidRPr="002752B5">
              <w:rPr>
                <w:rFonts w:cs="Arial"/>
                <w:bCs/>
                <w:sz w:val="22"/>
                <w:szCs w:val="22"/>
              </w:rPr>
              <w:t>Kingston upon Hull</w:t>
            </w:r>
          </w:p>
        </w:tc>
        <w:tc>
          <w:tcPr>
            <w:tcW w:w="1284" w:type="pct"/>
            <w:shd w:val="clear" w:color="auto" w:fill="auto"/>
            <w:noWrap/>
            <w:vAlign w:val="bottom"/>
          </w:tcPr>
          <w:p w:rsidR="00D60C50" w:rsidRPr="002752B5" w:rsidRDefault="00D60C50" w:rsidP="00E535C8">
            <w:pPr>
              <w:jc w:val="right"/>
              <w:rPr>
                <w:rFonts w:cs="Arial"/>
                <w:color w:val="000000"/>
                <w:sz w:val="22"/>
                <w:szCs w:val="22"/>
              </w:rPr>
            </w:pPr>
            <w:r w:rsidRPr="002752B5">
              <w:rPr>
                <w:rFonts w:cs="Arial"/>
                <w:color w:val="000000"/>
                <w:sz w:val="22"/>
                <w:szCs w:val="22"/>
              </w:rPr>
              <w:t xml:space="preserve">25,765 </w:t>
            </w:r>
          </w:p>
        </w:tc>
        <w:tc>
          <w:tcPr>
            <w:tcW w:w="1685" w:type="pct"/>
            <w:shd w:val="clear" w:color="auto" w:fill="auto"/>
            <w:noWrap/>
            <w:vAlign w:val="bottom"/>
          </w:tcPr>
          <w:p w:rsidR="00D60C50" w:rsidRPr="002752B5" w:rsidRDefault="00D60C50" w:rsidP="002752B5">
            <w:pPr>
              <w:ind w:firstLineChars="200" w:firstLine="440"/>
              <w:jc w:val="right"/>
              <w:rPr>
                <w:rFonts w:cs="Arial"/>
                <w:color w:val="000000"/>
                <w:sz w:val="22"/>
                <w:szCs w:val="22"/>
              </w:rPr>
            </w:pPr>
            <w:r w:rsidRPr="002752B5">
              <w:rPr>
                <w:rFonts w:cs="Arial"/>
                <w:color w:val="000000"/>
                <w:sz w:val="22"/>
                <w:szCs w:val="22"/>
              </w:rPr>
              <w:t>97.0</w:t>
            </w:r>
          </w:p>
        </w:tc>
      </w:tr>
      <w:tr w:rsidR="00D60C50" w:rsidRPr="002752B5" w:rsidTr="00D60C50">
        <w:trPr>
          <w:trHeight w:val="227"/>
        </w:trPr>
        <w:tc>
          <w:tcPr>
            <w:tcW w:w="2030" w:type="pct"/>
            <w:shd w:val="clear" w:color="auto" w:fill="auto"/>
            <w:noWrap/>
            <w:vAlign w:val="bottom"/>
          </w:tcPr>
          <w:p w:rsidR="00D60C50" w:rsidRPr="002752B5" w:rsidRDefault="00D60C50" w:rsidP="00E535C8">
            <w:pPr>
              <w:rPr>
                <w:rFonts w:cs="Arial"/>
                <w:bCs/>
                <w:sz w:val="22"/>
                <w:szCs w:val="22"/>
              </w:rPr>
            </w:pPr>
            <w:proofErr w:type="spellStart"/>
            <w:r w:rsidRPr="002752B5">
              <w:rPr>
                <w:rFonts w:cs="Arial"/>
                <w:bCs/>
                <w:sz w:val="22"/>
                <w:szCs w:val="22"/>
              </w:rPr>
              <w:t>Kirklees</w:t>
            </w:r>
            <w:proofErr w:type="spellEnd"/>
          </w:p>
        </w:tc>
        <w:tc>
          <w:tcPr>
            <w:tcW w:w="1284" w:type="pct"/>
            <w:shd w:val="clear" w:color="auto" w:fill="auto"/>
            <w:noWrap/>
            <w:vAlign w:val="bottom"/>
          </w:tcPr>
          <w:p w:rsidR="00D60C50" w:rsidRPr="002752B5" w:rsidRDefault="00D60C50" w:rsidP="00E535C8">
            <w:pPr>
              <w:jc w:val="right"/>
              <w:rPr>
                <w:rFonts w:cs="Arial"/>
                <w:color w:val="000000"/>
                <w:sz w:val="22"/>
                <w:szCs w:val="22"/>
              </w:rPr>
            </w:pPr>
            <w:r w:rsidRPr="002752B5">
              <w:rPr>
                <w:rFonts w:cs="Arial"/>
                <w:color w:val="000000"/>
                <w:sz w:val="22"/>
                <w:szCs w:val="22"/>
              </w:rPr>
              <w:t xml:space="preserve">27,347 </w:t>
            </w:r>
          </w:p>
        </w:tc>
        <w:tc>
          <w:tcPr>
            <w:tcW w:w="1685" w:type="pct"/>
            <w:shd w:val="clear" w:color="auto" w:fill="auto"/>
            <w:noWrap/>
            <w:vAlign w:val="bottom"/>
          </w:tcPr>
          <w:p w:rsidR="00D60C50" w:rsidRPr="002752B5" w:rsidRDefault="00D60C50" w:rsidP="002752B5">
            <w:pPr>
              <w:ind w:firstLineChars="200" w:firstLine="440"/>
              <w:jc w:val="right"/>
              <w:rPr>
                <w:rFonts w:cs="Arial"/>
                <w:color w:val="000000"/>
                <w:sz w:val="22"/>
                <w:szCs w:val="22"/>
              </w:rPr>
            </w:pPr>
            <w:r w:rsidRPr="002752B5">
              <w:rPr>
                <w:rFonts w:cs="Arial"/>
                <w:color w:val="000000"/>
                <w:sz w:val="22"/>
                <w:szCs w:val="22"/>
              </w:rPr>
              <w:t>61.4</w:t>
            </w:r>
          </w:p>
        </w:tc>
      </w:tr>
      <w:tr w:rsidR="00D60C50" w:rsidRPr="002752B5" w:rsidTr="00D60C50">
        <w:trPr>
          <w:trHeight w:val="227"/>
        </w:trPr>
        <w:tc>
          <w:tcPr>
            <w:tcW w:w="2030" w:type="pct"/>
            <w:shd w:val="clear" w:color="auto" w:fill="auto"/>
            <w:noWrap/>
            <w:vAlign w:val="bottom"/>
          </w:tcPr>
          <w:p w:rsidR="00D60C50" w:rsidRPr="002752B5" w:rsidRDefault="00D60C50" w:rsidP="00E535C8">
            <w:pPr>
              <w:rPr>
                <w:rFonts w:cs="Arial"/>
                <w:bCs/>
                <w:sz w:val="22"/>
                <w:szCs w:val="22"/>
              </w:rPr>
            </w:pPr>
            <w:r w:rsidRPr="002752B5">
              <w:rPr>
                <w:rFonts w:cs="Arial"/>
                <w:bCs/>
                <w:sz w:val="22"/>
                <w:szCs w:val="22"/>
              </w:rPr>
              <w:t>Leeds</w:t>
            </w:r>
          </w:p>
        </w:tc>
        <w:tc>
          <w:tcPr>
            <w:tcW w:w="1284" w:type="pct"/>
            <w:shd w:val="clear" w:color="auto" w:fill="auto"/>
            <w:noWrap/>
            <w:vAlign w:val="bottom"/>
          </w:tcPr>
          <w:p w:rsidR="00D60C50" w:rsidRPr="002752B5" w:rsidRDefault="00D60C50" w:rsidP="00E535C8">
            <w:pPr>
              <w:jc w:val="right"/>
              <w:rPr>
                <w:rFonts w:cs="Arial"/>
                <w:color w:val="000000"/>
                <w:sz w:val="22"/>
                <w:szCs w:val="22"/>
              </w:rPr>
            </w:pPr>
            <w:r w:rsidRPr="002752B5">
              <w:rPr>
                <w:rFonts w:cs="Arial"/>
                <w:color w:val="000000"/>
                <w:sz w:val="22"/>
                <w:szCs w:val="22"/>
              </w:rPr>
              <w:t xml:space="preserve">46,630 </w:t>
            </w:r>
          </w:p>
        </w:tc>
        <w:tc>
          <w:tcPr>
            <w:tcW w:w="1685" w:type="pct"/>
            <w:shd w:val="clear" w:color="auto" w:fill="auto"/>
            <w:noWrap/>
            <w:vAlign w:val="bottom"/>
          </w:tcPr>
          <w:p w:rsidR="00D60C50" w:rsidRPr="002752B5" w:rsidRDefault="00D60C50" w:rsidP="002752B5">
            <w:pPr>
              <w:ind w:firstLineChars="200" w:firstLine="440"/>
              <w:jc w:val="right"/>
              <w:rPr>
                <w:rFonts w:cs="Arial"/>
                <w:color w:val="000000"/>
                <w:sz w:val="22"/>
                <w:szCs w:val="22"/>
              </w:rPr>
            </w:pPr>
            <w:r w:rsidRPr="002752B5">
              <w:rPr>
                <w:rFonts w:cs="Arial"/>
                <w:color w:val="000000"/>
                <w:sz w:val="22"/>
                <w:szCs w:val="22"/>
              </w:rPr>
              <w:t>58.8</w:t>
            </w:r>
          </w:p>
        </w:tc>
      </w:tr>
      <w:tr w:rsidR="00D60C50" w:rsidRPr="002752B5" w:rsidTr="00D60C50">
        <w:trPr>
          <w:trHeight w:val="227"/>
        </w:trPr>
        <w:tc>
          <w:tcPr>
            <w:tcW w:w="2030" w:type="pct"/>
            <w:shd w:val="clear" w:color="auto" w:fill="auto"/>
            <w:noWrap/>
            <w:vAlign w:val="bottom"/>
          </w:tcPr>
          <w:p w:rsidR="00D60C50" w:rsidRPr="002752B5" w:rsidRDefault="00D60C50" w:rsidP="00E535C8">
            <w:pPr>
              <w:rPr>
                <w:rFonts w:cs="Arial"/>
                <w:bCs/>
                <w:sz w:val="22"/>
                <w:szCs w:val="22"/>
              </w:rPr>
            </w:pPr>
            <w:r w:rsidRPr="002752B5">
              <w:rPr>
                <w:rFonts w:cs="Arial"/>
                <w:bCs/>
                <w:sz w:val="22"/>
                <w:szCs w:val="22"/>
              </w:rPr>
              <w:t>North East Lincolnshire</w:t>
            </w:r>
          </w:p>
        </w:tc>
        <w:tc>
          <w:tcPr>
            <w:tcW w:w="1284" w:type="pct"/>
            <w:shd w:val="clear" w:color="auto" w:fill="auto"/>
            <w:noWrap/>
            <w:vAlign w:val="bottom"/>
          </w:tcPr>
          <w:p w:rsidR="00D60C50" w:rsidRPr="002752B5" w:rsidRDefault="00D60C50" w:rsidP="00E535C8">
            <w:pPr>
              <w:jc w:val="right"/>
              <w:rPr>
                <w:rFonts w:cs="Arial"/>
                <w:color w:val="000000"/>
                <w:sz w:val="22"/>
                <w:szCs w:val="22"/>
              </w:rPr>
            </w:pPr>
            <w:r w:rsidRPr="002752B5">
              <w:rPr>
                <w:rFonts w:cs="Arial"/>
                <w:color w:val="000000"/>
                <w:sz w:val="22"/>
                <w:szCs w:val="22"/>
              </w:rPr>
              <w:t xml:space="preserve">11,603 </w:t>
            </w:r>
          </w:p>
        </w:tc>
        <w:tc>
          <w:tcPr>
            <w:tcW w:w="1685" w:type="pct"/>
            <w:shd w:val="clear" w:color="auto" w:fill="auto"/>
            <w:noWrap/>
            <w:vAlign w:val="bottom"/>
          </w:tcPr>
          <w:p w:rsidR="00D60C50" w:rsidRPr="002752B5" w:rsidRDefault="00D60C50" w:rsidP="002752B5">
            <w:pPr>
              <w:ind w:firstLineChars="200" w:firstLine="440"/>
              <w:jc w:val="right"/>
              <w:rPr>
                <w:rFonts w:cs="Arial"/>
                <w:color w:val="000000"/>
                <w:sz w:val="22"/>
                <w:szCs w:val="22"/>
              </w:rPr>
            </w:pPr>
            <w:r w:rsidRPr="002752B5">
              <w:rPr>
                <w:rFonts w:cs="Arial"/>
                <w:color w:val="000000"/>
                <w:sz w:val="22"/>
                <w:szCs w:val="22"/>
              </w:rPr>
              <w:t>70.9</w:t>
            </w:r>
          </w:p>
        </w:tc>
      </w:tr>
      <w:tr w:rsidR="00D60C50" w:rsidRPr="002752B5" w:rsidTr="00D60C50">
        <w:trPr>
          <w:trHeight w:val="227"/>
        </w:trPr>
        <w:tc>
          <w:tcPr>
            <w:tcW w:w="2030" w:type="pct"/>
            <w:shd w:val="clear" w:color="auto" w:fill="auto"/>
            <w:noWrap/>
            <w:vAlign w:val="bottom"/>
          </w:tcPr>
          <w:p w:rsidR="00D60C50" w:rsidRPr="002752B5" w:rsidRDefault="00D60C50" w:rsidP="00E535C8">
            <w:pPr>
              <w:rPr>
                <w:rFonts w:cs="Arial"/>
                <w:bCs/>
                <w:sz w:val="22"/>
                <w:szCs w:val="22"/>
              </w:rPr>
            </w:pPr>
            <w:r w:rsidRPr="002752B5">
              <w:rPr>
                <w:rFonts w:cs="Arial"/>
                <w:bCs/>
                <w:sz w:val="22"/>
                <w:szCs w:val="22"/>
              </w:rPr>
              <w:t>North Lincolnshire</w:t>
            </w:r>
          </w:p>
        </w:tc>
        <w:tc>
          <w:tcPr>
            <w:tcW w:w="1284" w:type="pct"/>
            <w:shd w:val="clear" w:color="auto" w:fill="auto"/>
            <w:noWrap/>
            <w:vAlign w:val="bottom"/>
          </w:tcPr>
          <w:p w:rsidR="00D60C50" w:rsidRPr="002752B5" w:rsidRDefault="00D60C50" w:rsidP="00E535C8">
            <w:pPr>
              <w:jc w:val="right"/>
              <w:rPr>
                <w:rFonts w:cs="Arial"/>
                <w:color w:val="000000"/>
                <w:sz w:val="22"/>
                <w:szCs w:val="22"/>
              </w:rPr>
            </w:pPr>
            <w:r w:rsidRPr="002752B5">
              <w:rPr>
                <w:rFonts w:cs="Arial"/>
                <w:color w:val="000000"/>
                <w:sz w:val="22"/>
                <w:szCs w:val="22"/>
              </w:rPr>
              <w:t xml:space="preserve">9,803 </w:t>
            </w:r>
          </w:p>
        </w:tc>
        <w:tc>
          <w:tcPr>
            <w:tcW w:w="1685" w:type="pct"/>
            <w:shd w:val="clear" w:color="auto" w:fill="auto"/>
            <w:noWrap/>
            <w:vAlign w:val="bottom"/>
          </w:tcPr>
          <w:p w:rsidR="00D60C50" w:rsidRPr="002752B5" w:rsidRDefault="00D60C50" w:rsidP="002752B5">
            <w:pPr>
              <w:ind w:firstLineChars="200" w:firstLine="440"/>
              <w:jc w:val="right"/>
              <w:rPr>
                <w:rFonts w:cs="Arial"/>
                <w:color w:val="000000"/>
                <w:sz w:val="22"/>
                <w:szCs w:val="22"/>
              </w:rPr>
            </w:pPr>
            <w:r w:rsidRPr="002752B5">
              <w:rPr>
                <w:rFonts w:cs="Arial"/>
                <w:color w:val="000000"/>
                <w:sz w:val="22"/>
                <w:szCs w:val="22"/>
              </w:rPr>
              <w:t>56.3</w:t>
            </w:r>
          </w:p>
        </w:tc>
      </w:tr>
      <w:tr w:rsidR="00D60C50" w:rsidRPr="002752B5" w:rsidTr="00D60C50">
        <w:trPr>
          <w:trHeight w:val="227"/>
        </w:trPr>
        <w:tc>
          <w:tcPr>
            <w:tcW w:w="2030" w:type="pct"/>
            <w:shd w:val="clear" w:color="auto" w:fill="auto"/>
            <w:noWrap/>
            <w:vAlign w:val="bottom"/>
          </w:tcPr>
          <w:p w:rsidR="00D60C50" w:rsidRPr="002752B5" w:rsidRDefault="00D60C50" w:rsidP="00E535C8">
            <w:pPr>
              <w:rPr>
                <w:rFonts w:cs="Arial"/>
                <w:bCs/>
                <w:sz w:val="22"/>
                <w:szCs w:val="22"/>
              </w:rPr>
            </w:pPr>
            <w:r w:rsidRPr="002752B5">
              <w:rPr>
                <w:rFonts w:cs="Arial"/>
                <w:bCs/>
                <w:sz w:val="22"/>
                <w:szCs w:val="22"/>
              </w:rPr>
              <w:t>North Yorkshire</w:t>
            </w:r>
          </w:p>
        </w:tc>
        <w:tc>
          <w:tcPr>
            <w:tcW w:w="1284" w:type="pct"/>
            <w:shd w:val="clear" w:color="auto" w:fill="auto"/>
            <w:noWrap/>
            <w:vAlign w:val="bottom"/>
          </w:tcPr>
          <w:p w:rsidR="00D60C50" w:rsidRPr="002752B5" w:rsidRDefault="00D60C50" w:rsidP="00E535C8">
            <w:pPr>
              <w:jc w:val="right"/>
              <w:rPr>
                <w:rFonts w:cs="Arial"/>
                <w:color w:val="000000"/>
                <w:sz w:val="22"/>
                <w:szCs w:val="22"/>
              </w:rPr>
            </w:pPr>
            <w:r w:rsidRPr="002752B5">
              <w:rPr>
                <w:rFonts w:cs="Arial"/>
                <w:color w:val="000000"/>
                <w:sz w:val="22"/>
                <w:szCs w:val="22"/>
              </w:rPr>
              <w:t xml:space="preserve">22,895 </w:t>
            </w:r>
          </w:p>
        </w:tc>
        <w:tc>
          <w:tcPr>
            <w:tcW w:w="1685" w:type="pct"/>
            <w:shd w:val="clear" w:color="auto" w:fill="auto"/>
            <w:noWrap/>
            <w:vAlign w:val="bottom"/>
          </w:tcPr>
          <w:p w:rsidR="00D60C50" w:rsidRPr="002752B5" w:rsidRDefault="00D60C50" w:rsidP="002752B5">
            <w:pPr>
              <w:ind w:firstLineChars="200" w:firstLine="440"/>
              <w:jc w:val="right"/>
              <w:rPr>
                <w:rFonts w:cs="Arial"/>
                <w:color w:val="000000"/>
                <w:sz w:val="22"/>
                <w:szCs w:val="22"/>
              </w:rPr>
            </w:pPr>
            <w:r w:rsidRPr="002752B5">
              <w:rPr>
                <w:rFonts w:cs="Arial"/>
                <w:color w:val="000000"/>
                <w:sz w:val="22"/>
                <w:szCs w:val="22"/>
              </w:rPr>
              <w:t>37.1</w:t>
            </w:r>
          </w:p>
        </w:tc>
      </w:tr>
      <w:tr w:rsidR="00D60C50" w:rsidRPr="002752B5" w:rsidTr="00D60C50">
        <w:trPr>
          <w:trHeight w:val="227"/>
        </w:trPr>
        <w:tc>
          <w:tcPr>
            <w:tcW w:w="2030" w:type="pct"/>
            <w:shd w:val="clear" w:color="auto" w:fill="auto"/>
            <w:noWrap/>
            <w:vAlign w:val="bottom"/>
          </w:tcPr>
          <w:p w:rsidR="00D60C50" w:rsidRPr="002752B5" w:rsidRDefault="00D60C50" w:rsidP="00E535C8">
            <w:pPr>
              <w:rPr>
                <w:rFonts w:cs="Arial"/>
                <w:bCs/>
                <w:sz w:val="22"/>
                <w:szCs w:val="22"/>
              </w:rPr>
            </w:pPr>
            <w:proofErr w:type="spellStart"/>
            <w:r w:rsidRPr="002752B5">
              <w:rPr>
                <w:rFonts w:cs="Arial"/>
                <w:bCs/>
                <w:sz w:val="22"/>
                <w:szCs w:val="22"/>
              </w:rPr>
              <w:t>Rotherham</w:t>
            </w:r>
            <w:proofErr w:type="spellEnd"/>
          </w:p>
        </w:tc>
        <w:tc>
          <w:tcPr>
            <w:tcW w:w="1284" w:type="pct"/>
            <w:shd w:val="clear" w:color="auto" w:fill="auto"/>
            <w:noWrap/>
            <w:vAlign w:val="bottom"/>
          </w:tcPr>
          <w:p w:rsidR="00D60C50" w:rsidRPr="002752B5" w:rsidRDefault="00D60C50" w:rsidP="00E535C8">
            <w:pPr>
              <w:jc w:val="right"/>
              <w:rPr>
                <w:rFonts w:cs="Arial"/>
                <w:color w:val="000000"/>
                <w:sz w:val="22"/>
                <w:szCs w:val="22"/>
              </w:rPr>
            </w:pPr>
            <w:r w:rsidRPr="002752B5">
              <w:rPr>
                <w:rFonts w:cs="Arial"/>
                <w:color w:val="000000"/>
                <w:sz w:val="22"/>
                <w:szCs w:val="22"/>
              </w:rPr>
              <w:t xml:space="preserve">17,157 </w:t>
            </w:r>
          </w:p>
        </w:tc>
        <w:tc>
          <w:tcPr>
            <w:tcW w:w="1685" w:type="pct"/>
            <w:shd w:val="clear" w:color="auto" w:fill="auto"/>
            <w:noWrap/>
            <w:vAlign w:val="bottom"/>
          </w:tcPr>
          <w:p w:rsidR="00D60C50" w:rsidRPr="002752B5" w:rsidRDefault="00D60C50" w:rsidP="002752B5">
            <w:pPr>
              <w:ind w:firstLineChars="200" w:firstLine="440"/>
              <w:jc w:val="right"/>
              <w:rPr>
                <w:rFonts w:cs="Arial"/>
                <w:color w:val="000000"/>
                <w:sz w:val="22"/>
                <w:szCs w:val="22"/>
              </w:rPr>
            </w:pPr>
            <w:r w:rsidRPr="002752B5">
              <w:rPr>
                <w:rFonts w:cs="Arial"/>
                <w:color w:val="000000"/>
                <w:sz w:val="22"/>
                <w:szCs w:val="22"/>
              </w:rPr>
              <w:t>64.2</w:t>
            </w:r>
          </w:p>
        </w:tc>
      </w:tr>
      <w:tr w:rsidR="00D60C50" w:rsidRPr="002752B5" w:rsidTr="00D60C50">
        <w:trPr>
          <w:trHeight w:val="227"/>
        </w:trPr>
        <w:tc>
          <w:tcPr>
            <w:tcW w:w="2030" w:type="pct"/>
            <w:shd w:val="clear" w:color="auto" w:fill="auto"/>
            <w:noWrap/>
            <w:vAlign w:val="bottom"/>
          </w:tcPr>
          <w:p w:rsidR="00D60C50" w:rsidRPr="002752B5" w:rsidRDefault="00D60C50" w:rsidP="00E535C8">
            <w:pPr>
              <w:rPr>
                <w:rFonts w:cs="Arial"/>
                <w:bCs/>
                <w:sz w:val="22"/>
                <w:szCs w:val="22"/>
              </w:rPr>
            </w:pPr>
            <w:r w:rsidRPr="002752B5">
              <w:rPr>
                <w:rFonts w:cs="Arial"/>
                <w:bCs/>
                <w:sz w:val="22"/>
                <w:szCs w:val="22"/>
              </w:rPr>
              <w:t>Sheffield</w:t>
            </w:r>
          </w:p>
        </w:tc>
        <w:tc>
          <w:tcPr>
            <w:tcW w:w="1284" w:type="pct"/>
            <w:shd w:val="clear" w:color="auto" w:fill="auto"/>
            <w:noWrap/>
            <w:vAlign w:val="bottom"/>
          </w:tcPr>
          <w:p w:rsidR="00D60C50" w:rsidRPr="002752B5" w:rsidRDefault="00D60C50" w:rsidP="00E535C8">
            <w:pPr>
              <w:jc w:val="right"/>
              <w:rPr>
                <w:rFonts w:cs="Arial"/>
                <w:color w:val="000000"/>
                <w:sz w:val="22"/>
                <w:szCs w:val="22"/>
              </w:rPr>
            </w:pPr>
            <w:r w:rsidRPr="002752B5">
              <w:rPr>
                <w:rFonts w:cs="Arial"/>
                <w:color w:val="000000"/>
                <w:sz w:val="22"/>
                <w:szCs w:val="22"/>
              </w:rPr>
              <w:t xml:space="preserve">35,100 </w:t>
            </w:r>
          </w:p>
        </w:tc>
        <w:tc>
          <w:tcPr>
            <w:tcW w:w="1685" w:type="pct"/>
            <w:shd w:val="clear" w:color="auto" w:fill="auto"/>
            <w:noWrap/>
            <w:vAlign w:val="bottom"/>
          </w:tcPr>
          <w:p w:rsidR="00D60C50" w:rsidRPr="002752B5" w:rsidRDefault="00D60C50" w:rsidP="002752B5">
            <w:pPr>
              <w:ind w:firstLineChars="200" w:firstLine="440"/>
              <w:jc w:val="right"/>
              <w:rPr>
                <w:rFonts w:cs="Arial"/>
                <w:color w:val="000000"/>
                <w:sz w:val="22"/>
                <w:szCs w:val="22"/>
              </w:rPr>
            </w:pPr>
            <w:r w:rsidRPr="002752B5">
              <w:rPr>
                <w:rFonts w:cs="Arial"/>
                <w:color w:val="000000"/>
                <w:sz w:val="22"/>
                <w:szCs w:val="22"/>
              </w:rPr>
              <w:t>60.1</w:t>
            </w:r>
          </w:p>
        </w:tc>
      </w:tr>
      <w:tr w:rsidR="00D60C50" w:rsidRPr="002752B5" w:rsidTr="00D60C50">
        <w:trPr>
          <w:trHeight w:val="227"/>
        </w:trPr>
        <w:tc>
          <w:tcPr>
            <w:tcW w:w="2030" w:type="pct"/>
            <w:shd w:val="clear" w:color="auto" w:fill="auto"/>
            <w:noWrap/>
            <w:vAlign w:val="bottom"/>
          </w:tcPr>
          <w:p w:rsidR="00D60C50" w:rsidRPr="002752B5" w:rsidRDefault="00D60C50" w:rsidP="00E535C8">
            <w:pPr>
              <w:rPr>
                <w:rFonts w:cs="Arial"/>
                <w:bCs/>
                <w:sz w:val="22"/>
                <w:szCs w:val="22"/>
              </w:rPr>
            </w:pPr>
            <w:r w:rsidRPr="002752B5">
              <w:rPr>
                <w:rFonts w:cs="Arial"/>
                <w:bCs/>
                <w:sz w:val="22"/>
                <w:szCs w:val="22"/>
              </w:rPr>
              <w:t>Wakefield</w:t>
            </w:r>
          </w:p>
        </w:tc>
        <w:tc>
          <w:tcPr>
            <w:tcW w:w="1284" w:type="pct"/>
            <w:shd w:val="clear" w:color="auto" w:fill="auto"/>
            <w:noWrap/>
            <w:vAlign w:val="bottom"/>
          </w:tcPr>
          <w:p w:rsidR="00D60C50" w:rsidRPr="002752B5" w:rsidRDefault="00D60C50" w:rsidP="00E535C8">
            <w:pPr>
              <w:jc w:val="right"/>
              <w:rPr>
                <w:rFonts w:cs="Arial"/>
                <w:color w:val="000000"/>
                <w:sz w:val="22"/>
                <w:szCs w:val="22"/>
              </w:rPr>
            </w:pPr>
            <w:r w:rsidRPr="002752B5">
              <w:rPr>
                <w:rFonts w:cs="Arial"/>
                <w:color w:val="000000"/>
                <w:sz w:val="22"/>
                <w:szCs w:val="22"/>
              </w:rPr>
              <w:t xml:space="preserve">25,577 </w:t>
            </w:r>
          </w:p>
        </w:tc>
        <w:tc>
          <w:tcPr>
            <w:tcW w:w="1685" w:type="pct"/>
            <w:shd w:val="clear" w:color="auto" w:fill="auto"/>
            <w:noWrap/>
            <w:vAlign w:val="bottom"/>
          </w:tcPr>
          <w:p w:rsidR="00D60C50" w:rsidRPr="002752B5" w:rsidRDefault="00D60C50" w:rsidP="002752B5">
            <w:pPr>
              <w:ind w:firstLineChars="200" w:firstLine="440"/>
              <w:jc w:val="right"/>
              <w:rPr>
                <w:rFonts w:cs="Arial"/>
                <w:color w:val="000000"/>
                <w:sz w:val="22"/>
                <w:szCs w:val="22"/>
              </w:rPr>
            </w:pPr>
            <w:r w:rsidRPr="002752B5">
              <w:rPr>
                <w:rFonts w:cs="Arial"/>
                <w:color w:val="000000"/>
                <w:sz w:val="22"/>
                <w:szCs w:val="22"/>
              </w:rPr>
              <w:t>74.7</w:t>
            </w:r>
          </w:p>
        </w:tc>
      </w:tr>
      <w:tr w:rsidR="00D60C50" w:rsidRPr="002752B5" w:rsidTr="00D60C50">
        <w:trPr>
          <w:trHeight w:val="227"/>
        </w:trPr>
        <w:tc>
          <w:tcPr>
            <w:tcW w:w="2030" w:type="pct"/>
            <w:shd w:val="clear" w:color="auto" w:fill="auto"/>
            <w:noWrap/>
            <w:vAlign w:val="bottom"/>
          </w:tcPr>
          <w:p w:rsidR="00D60C50" w:rsidRPr="002752B5" w:rsidRDefault="00D60C50" w:rsidP="00E535C8">
            <w:pPr>
              <w:rPr>
                <w:rFonts w:cs="Arial"/>
                <w:bCs/>
                <w:sz w:val="22"/>
                <w:szCs w:val="22"/>
              </w:rPr>
            </w:pPr>
            <w:r w:rsidRPr="002752B5">
              <w:rPr>
                <w:rFonts w:cs="Arial"/>
                <w:bCs/>
                <w:sz w:val="22"/>
                <w:szCs w:val="22"/>
              </w:rPr>
              <w:t>York</w:t>
            </w:r>
          </w:p>
        </w:tc>
        <w:tc>
          <w:tcPr>
            <w:tcW w:w="1284" w:type="pct"/>
            <w:shd w:val="clear" w:color="auto" w:fill="auto"/>
            <w:noWrap/>
            <w:vAlign w:val="bottom"/>
          </w:tcPr>
          <w:p w:rsidR="00D60C50" w:rsidRPr="002752B5" w:rsidRDefault="00D60C50" w:rsidP="00E535C8">
            <w:pPr>
              <w:jc w:val="right"/>
              <w:rPr>
                <w:rFonts w:cs="Arial"/>
                <w:color w:val="000000"/>
                <w:sz w:val="22"/>
                <w:szCs w:val="22"/>
              </w:rPr>
            </w:pPr>
            <w:r w:rsidRPr="002752B5">
              <w:rPr>
                <w:rFonts w:cs="Arial"/>
                <w:color w:val="000000"/>
                <w:sz w:val="22"/>
                <w:szCs w:val="22"/>
              </w:rPr>
              <w:t xml:space="preserve">8,433 </w:t>
            </w:r>
          </w:p>
        </w:tc>
        <w:tc>
          <w:tcPr>
            <w:tcW w:w="1685" w:type="pct"/>
            <w:shd w:val="clear" w:color="auto" w:fill="auto"/>
            <w:noWrap/>
            <w:vAlign w:val="bottom"/>
          </w:tcPr>
          <w:p w:rsidR="00D60C50" w:rsidRPr="002752B5" w:rsidRDefault="00D60C50" w:rsidP="002752B5">
            <w:pPr>
              <w:ind w:firstLineChars="200" w:firstLine="440"/>
              <w:jc w:val="right"/>
              <w:rPr>
                <w:rFonts w:cs="Arial"/>
                <w:color w:val="000000"/>
                <w:sz w:val="22"/>
                <w:szCs w:val="22"/>
              </w:rPr>
            </w:pPr>
            <w:r w:rsidRPr="002752B5">
              <w:rPr>
                <w:rFonts w:cs="Arial"/>
                <w:color w:val="000000"/>
                <w:sz w:val="22"/>
                <w:szCs w:val="22"/>
              </w:rPr>
              <w:t>39.8</w:t>
            </w:r>
          </w:p>
        </w:tc>
      </w:tr>
    </w:tbl>
    <w:p w:rsidR="009B6AED" w:rsidRPr="002752B5" w:rsidRDefault="009B6AED" w:rsidP="00EF3D98">
      <w:pPr>
        <w:overflowPunct/>
        <w:autoSpaceDE/>
        <w:autoSpaceDN/>
        <w:adjustRightInd/>
        <w:spacing w:after="200" w:line="276" w:lineRule="auto"/>
        <w:ind w:left="180"/>
        <w:textAlignment w:val="auto"/>
        <w:rPr>
          <w:rFonts w:eastAsia="Calibri" w:cs="Arial"/>
          <w:sz w:val="22"/>
          <w:szCs w:val="22"/>
          <w:lang w:val="en-GB"/>
        </w:rPr>
      </w:pPr>
      <w:r w:rsidRPr="002752B5">
        <w:rPr>
          <w:rFonts w:cs="Arial"/>
          <w:sz w:val="22"/>
          <w:szCs w:val="22"/>
        </w:rPr>
        <w:t>*ONS 2015 mid-year population estimates</w:t>
      </w:r>
    </w:p>
    <w:p w:rsidR="0083566B" w:rsidRPr="007B1BF1" w:rsidRDefault="003509B1" w:rsidP="007B1BF1">
      <w:pPr>
        <w:rPr>
          <w:b/>
          <w:sz w:val="22"/>
          <w:szCs w:val="22"/>
        </w:rPr>
      </w:pPr>
      <w:r w:rsidRPr="007B1BF1">
        <w:rPr>
          <w:rFonts w:eastAsia="Calibri"/>
          <w:b/>
          <w:sz w:val="22"/>
          <w:szCs w:val="22"/>
        </w:rPr>
        <w:t>Financial performance</w:t>
      </w:r>
      <w:r w:rsidR="0083566B" w:rsidRPr="007B1BF1">
        <w:rPr>
          <w:rFonts w:eastAsia="Calibri"/>
          <w:b/>
          <w:sz w:val="22"/>
          <w:szCs w:val="22"/>
        </w:rPr>
        <w:t xml:space="preserve">: </w:t>
      </w:r>
      <w:r w:rsidR="0083566B" w:rsidRPr="007B1BF1">
        <w:rPr>
          <w:b/>
          <w:sz w:val="22"/>
          <w:szCs w:val="22"/>
        </w:rPr>
        <w:t xml:space="preserve"> How do we measure value for money?</w:t>
      </w:r>
    </w:p>
    <w:p w:rsidR="0083566B" w:rsidRPr="007B1BF1" w:rsidRDefault="003509B1" w:rsidP="007B1BF1">
      <w:pPr>
        <w:rPr>
          <w:sz w:val="22"/>
          <w:szCs w:val="22"/>
        </w:rPr>
      </w:pPr>
      <w:r w:rsidRPr="007B1BF1">
        <w:rPr>
          <w:rFonts w:eastAsia="Calibri"/>
          <w:sz w:val="22"/>
          <w:szCs w:val="22"/>
        </w:rPr>
        <w:t xml:space="preserve"> </w:t>
      </w:r>
    </w:p>
    <w:p w:rsidR="00E54C87" w:rsidRPr="00C715F4" w:rsidRDefault="0083566B" w:rsidP="00A61629">
      <w:pPr>
        <w:spacing w:after="200" w:line="276" w:lineRule="auto"/>
        <w:jc w:val="both"/>
        <w:rPr>
          <w:rFonts w:eastAsia="Calibri" w:cs="Arial"/>
          <w:sz w:val="22"/>
          <w:szCs w:val="22"/>
        </w:rPr>
      </w:pPr>
      <w:r w:rsidRPr="007B1BF1">
        <w:rPr>
          <w:sz w:val="22"/>
          <w:szCs w:val="22"/>
        </w:rPr>
        <w:t xml:space="preserve">Although the evidence on the cost-effectiveness of public health interventions is clear, measuring the impact of local investment in public health can be challenging.  Public Health England with the Association of Directors of Public Health have published guidance on the public health grant and its use which includes information on how the impact of the grant may be seen locally (Public Health England, January 2017).   This guidance has been used to identify possible indicators which could be used to monitor the impact of public health </w:t>
      </w:r>
      <w:r w:rsidRPr="007B1BF1">
        <w:rPr>
          <w:sz w:val="22"/>
          <w:szCs w:val="22"/>
        </w:rPr>
        <w:lastRenderedPageBreak/>
        <w:t xml:space="preserve">investment locally.   All indicators shown are drawn from the Public Health Outcome Framework (PHOF).  </w:t>
      </w:r>
      <w:r w:rsidR="00E54C87" w:rsidRPr="009B6AED">
        <w:rPr>
          <w:rFonts w:eastAsia="Calibri" w:cs="Arial"/>
          <w:sz w:val="22"/>
          <w:szCs w:val="22"/>
        </w:rPr>
        <w:t xml:space="preserve">In November 2016, </w:t>
      </w:r>
      <w:r w:rsidR="009B6AED" w:rsidRPr="009B6AED">
        <w:rPr>
          <w:rFonts w:eastAsia="Calibri" w:cs="Arial"/>
          <w:sz w:val="22"/>
          <w:szCs w:val="22"/>
        </w:rPr>
        <w:t xml:space="preserve">DMBC Corporate Strategy and Performance Unit (SPU) </w:t>
      </w:r>
      <w:r w:rsidR="008E28BA">
        <w:rPr>
          <w:rFonts w:eastAsia="Calibri" w:cs="Arial"/>
          <w:sz w:val="22"/>
          <w:szCs w:val="22"/>
        </w:rPr>
        <w:t xml:space="preserve">also </w:t>
      </w:r>
      <w:r w:rsidR="009B6AED" w:rsidRPr="009B6AED">
        <w:rPr>
          <w:rFonts w:eastAsia="Calibri" w:cs="Arial"/>
          <w:sz w:val="22"/>
          <w:szCs w:val="22"/>
        </w:rPr>
        <w:t>carried out public health value for money benchmarking for a range of public hea</w:t>
      </w:r>
      <w:r w:rsidR="009B6AED" w:rsidRPr="003D046C">
        <w:rPr>
          <w:rFonts w:eastAsia="Calibri" w:cs="Arial"/>
          <w:sz w:val="22"/>
          <w:szCs w:val="22"/>
        </w:rPr>
        <w:t>lth commissioned services. The value for money benchmarking exercise compared spends against outcomes in the following public hea</w:t>
      </w:r>
      <w:r w:rsidR="009B6AED" w:rsidRPr="00C715F4">
        <w:rPr>
          <w:rFonts w:eastAsia="Calibri" w:cs="Arial"/>
          <w:sz w:val="22"/>
          <w:szCs w:val="22"/>
        </w:rPr>
        <w:t xml:space="preserve">lth service areas: </w:t>
      </w:r>
    </w:p>
    <w:p w:rsidR="009B6AED" w:rsidRPr="00E535C8" w:rsidRDefault="009B6AED" w:rsidP="00E96392">
      <w:pPr>
        <w:pStyle w:val="ListParagraph"/>
        <w:numPr>
          <w:ilvl w:val="0"/>
          <w:numId w:val="31"/>
        </w:numPr>
        <w:rPr>
          <w:rFonts w:cs="Arial"/>
        </w:rPr>
      </w:pPr>
      <w:r w:rsidRPr="00E96392">
        <w:rPr>
          <w:rFonts w:ascii="Arial" w:hAnsi="Arial" w:cs="Arial"/>
        </w:rPr>
        <w:t>Obesity and physical activities</w:t>
      </w:r>
    </w:p>
    <w:p w:rsidR="009B6AED" w:rsidRPr="00E535C8" w:rsidRDefault="009B6AED" w:rsidP="00E96392">
      <w:pPr>
        <w:pStyle w:val="ListParagraph"/>
        <w:numPr>
          <w:ilvl w:val="0"/>
          <w:numId w:val="31"/>
        </w:numPr>
        <w:rPr>
          <w:rFonts w:cs="Arial"/>
        </w:rPr>
      </w:pPr>
      <w:r w:rsidRPr="00E96392">
        <w:rPr>
          <w:rFonts w:ascii="Arial" w:hAnsi="Arial" w:cs="Arial"/>
        </w:rPr>
        <w:t>Sexual health</w:t>
      </w:r>
    </w:p>
    <w:p w:rsidR="009B6AED" w:rsidRPr="00E535C8" w:rsidRDefault="009B6AED" w:rsidP="00E96392">
      <w:pPr>
        <w:pStyle w:val="ListParagraph"/>
        <w:numPr>
          <w:ilvl w:val="0"/>
          <w:numId w:val="31"/>
        </w:numPr>
        <w:rPr>
          <w:rFonts w:cs="Arial"/>
        </w:rPr>
      </w:pPr>
      <w:r w:rsidRPr="00E96392">
        <w:rPr>
          <w:rFonts w:ascii="Arial" w:hAnsi="Arial" w:cs="Arial"/>
        </w:rPr>
        <w:t>Smoking and tobacco control</w:t>
      </w:r>
    </w:p>
    <w:p w:rsidR="009B6AED" w:rsidRPr="00E535C8" w:rsidRDefault="009B6AED" w:rsidP="00E96392">
      <w:pPr>
        <w:pStyle w:val="ListParagraph"/>
        <w:numPr>
          <w:ilvl w:val="0"/>
          <w:numId w:val="31"/>
        </w:numPr>
        <w:rPr>
          <w:rFonts w:cs="Arial"/>
        </w:rPr>
      </w:pPr>
      <w:r w:rsidRPr="00E96392">
        <w:rPr>
          <w:rFonts w:ascii="Arial" w:hAnsi="Arial" w:cs="Arial"/>
        </w:rPr>
        <w:t>Substance misuse</w:t>
      </w:r>
    </w:p>
    <w:p w:rsidR="009B6AED" w:rsidRPr="00E535C8" w:rsidRDefault="009B6AED" w:rsidP="00E96392">
      <w:pPr>
        <w:pStyle w:val="ListParagraph"/>
        <w:numPr>
          <w:ilvl w:val="0"/>
          <w:numId w:val="31"/>
        </w:numPr>
        <w:rPr>
          <w:rFonts w:cs="Arial"/>
        </w:rPr>
      </w:pPr>
      <w:r w:rsidRPr="00E96392">
        <w:rPr>
          <w:rFonts w:ascii="Arial" w:hAnsi="Arial" w:cs="Arial"/>
        </w:rPr>
        <w:t>Child public health programmes</w:t>
      </w:r>
    </w:p>
    <w:p w:rsidR="009B6AED" w:rsidRPr="00E96392" w:rsidRDefault="009B6AED" w:rsidP="009B6AED">
      <w:pPr>
        <w:pStyle w:val="ListParagraph"/>
        <w:numPr>
          <w:ilvl w:val="0"/>
          <w:numId w:val="31"/>
        </w:numPr>
        <w:rPr>
          <w:rFonts w:ascii="Arial" w:hAnsi="Arial" w:cs="Arial"/>
        </w:rPr>
      </w:pPr>
      <w:r w:rsidRPr="00E96392">
        <w:rPr>
          <w:rFonts w:ascii="Arial" w:hAnsi="Arial" w:cs="Arial"/>
        </w:rPr>
        <w:t xml:space="preserve">Miscellaneous public health services (e.g. children 0-5 services). </w:t>
      </w:r>
    </w:p>
    <w:p w:rsidR="009B6AED" w:rsidRPr="00E96392" w:rsidRDefault="009B6AED" w:rsidP="009B6AED">
      <w:pPr>
        <w:pStyle w:val="ListParagraph"/>
        <w:numPr>
          <w:ilvl w:val="0"/>
          <w:numId w:val="31"/>
        </w:numPr>
        <w:rPr>
          <w:rFonts w:ascii="Arial" w:hAnsi="Arial" w:cs="Arial"/>
        </w:rPr>
      </w:pPr>
      <w:r w:rsidRPr="00E96392">
        <w:rPr>
          <w:rFonts w:ascii="Arial" w:hAnsi="Arial" w:cs="Arial"/>
        </w:rPr>
        <w:t>Additional measures (health protection, public health advice, and mental health support).</w:t>
      </w:r>
    </w:p>
    <w:p w:rsidR="009B6AED" w:rsidRDefault="009B6AED" w:rsidP="007B1BF1">
      <w:pPr>
        <w:rPr>
          <w:rFonts w:eastAsia="Calibri" w:cs="Arial"/>
          <w:sz w:val="22"/>
          <w:szCs w:val="22"/>
        </w:rPr>
      </w:pPr>
    </w:p>
    <w:p w:rsidR="009B6AED" w:rsidRPr="009B6AED" w:rsidRDefault="009B6AED" w:rsidP="00A61629">
      <w:pPr>
        <w:jc w:val="both"/>
        <w:rPr>
          <w:rFonts w:eastAsia="Calibri" w:cs="Arial"/>
          <w:sz w:val="22"/>
          <w:szCs w:val="22"/>
        </w:rPr>
      </w:pPr>
      <w:r>
        <w:rPr>
          <w:rFonts w:eastAsia="Calibri" w:cs="Arial"/>
          <w:sz w:val="22"/>
          <w:szCs w:val="22"/>
        </w:rPr>
        <w:t xml:space="preserve">Examples of value for money </w:t>
      </w:r>
      <w:r w:rsidR="003D046C">
        <w:rPr>
          <w:rFonts w:eastAsia="Calibri" w:cs="Arial"/>
          <w:sz w:val="22"/>
          <w:szCs w:val="22"/>
        </w:rPr>
        <w:t xml:space="preserve">benchmarking related to obesity </w:t>
      </w:r>
      <w:r w:rsidR="000A1B52">
        <w:rPr>
          <w:rFonts w:eastAsia="Calibri" w:cs="Arial"/>
          <w:sz w:val="22"/>
          <w:szCs w:val="22"/>
        </w:rPr>
        <w:t>(Figure 4</w:t>
      </w:r>
      <w:r w:rsidR="00692630">
        <w:rPr>
          <w:rFonts w:eastAsia="Calibri" w:cs="Arial"/>
          <w:sz w:val="22"/>
          <w:szCs w:val="22"/>
        </w:rPr>
        <w:t>a in adults; and Figure 4b obesity in children</w:t>
      </w:r>
      <w:r w:rsidR="000A1B52">
        <w:rPr>
          <w:rFonts w:eastAsia="Calibri" w:cs="Arial"/>
          <w:sz w:val="22"/>
          <w:szCs w:val="22"/>
        </w:rPr>
        <w:t>)</w:t>
      </w:r>
      <w:r w:rsidR="003D046C">
        <w:rPr>
          <w:rFonts w:eastAsia="Calibri" w:cs="Arial"/>
          <w:sz w:val="22"/>
          <w:szCs w:val="22"/>
        </w:rPr>
        <w:t xml:space="preserve">, and smoking and tobacco control service </w:t>
      </w:r>
      <w:r>
        <w:rPr>
          <w:rFonts w:eastAsia="Calibri" w:cs="Arial"/>
          <w:sz w:val="22"/>
          <w:szCs w:val="22"/>
        </w:rPr>
        <w:t xml:space="preserve">(Figure </w:t>
      </w:r>
      <w:r w:rsidR="000A1B52">
        <w:rPr>
          <w:rFonts w:eastAsia="Calibri" w:cs="Arial"/>
          <w:sz w:val="22"/>
          <w:szCs w:val="22"/>
        </w:rPr>
        <w:t>5</w:t>
      </w:r>
      <w:r>
        <w:rPr>
          <w:rFonts w:eastAsia="Calibri" w:cs="Arial"/>
          <w:sz w:val="22"/>
          <w:szCs w:val="22"/>
        </w:rPr>
        <w:t>)</w:t>
      </w:r>
      <w:r w:rsidR="000A1B52">
        <w:rPr>
          <w:rFonts w:eastAsia="Calibri" w:cs="Arial"/>
          <w:sz w:val="22"/>
          <w:szCs w:val="22"/>
        </w:rPr>
        <w:t>.</w:t>
      </w:r>
      <w:r w:rsidR="00A61629">
        <w:rPr>
          <w:rFonts w:eastAsia="Calibri" w:cs="Arial"/>
          <w:sz w:val="22"/>
          <w:szCs w:val="22"/>
        </w:rPr>
        <w:t xml:space="preserve"> </w:t>
      </w:r>
      <w:r w:rsidR="00A61629" w:rsidRPr="00A61629">
        <w:rPr>
          <w:rFonts w:eastAsia="Calibri" w:cs="Arial"/>
          <w:sz w:val="22"/>
          <w:szCs w:val="22"/>
        </w:rPr>
        <w:t>The public health outcomes across a range of areas in Doncaster and other local authorities in Yorkshire and the Humber are shown in Figure 6 below.</w:t>
      </w:r>
    </w:p>
    <w:p w:rsidR="0083566B" w:rsidRPr="007B1BF1" w:rsidRDefault="0083566B" w:rsidP="007B1BF1">
      <w:pPr>
        <w:rPr>
          <w:rFonts w:eastAsia="Calibri"/>
          <w:sz w:val="22"/>
          <w:szCs w:val="22"/>
        </w:rPr>
      </w:pPr>
    </w:p>
    <w:p w:rsidR="0083566B" w:rsidRDefault="0083566B" w:rsidP="007B1BF1">
      <w:pPr>
        <w:rPr>
          <w:rFonts w:eastAsia="Calibri"/>
          <w:sz w:val="22"/>
          <w:szCs w:val="22"/>
        </w:rPr>
      </w:pPr>
    </w:p>
    <w:p w:rsidR="003D046C" w:rsidRDefault="003D046C" w:rsidP="003D046C">
      <w:r w:rsidRPr="000A1B52">
        <w:rPr>
          <w:b/>
        </w:rPr>
        <w:t xml:space="preserve">Figure </w:t>
      </w:r>
      <w:r w:rsidR="000A1B52" w:rsidRPr="000A1B52">
        <w:rPr>
          <w:b/>
        </w:rPr>
        <w:t>4</w:t>
      </w:r>
      <w:r w:rsidR="00500068">
        <w:rPr>
          <w:b/>
        </w:rPr>
        <w:t>a</w:t>
      </w:r>
      <w:r w:rsidRPr="000A1B52">
        <w:rPr>
          <w:b/>
        </w:rPr>
        <w:t>:</w:t>
      </w:r>
      <w:r>
        <w:t xml:space="preserve"> Value for Money benchmarking for obesity</w:t>
      </w:r>
      <w:r w:rsidR="008E28BA">
        <w:t xml:space="preserve"> services (adults)</w:t>
      </w:r>
    </w:p>
    <w:p w:rsidR="003D046C" w:rsidRDefault="00500068" w:rsidP="003D046C">
      <w:r>
        <w:rPr>
          <w:noProof/>
          <w:lang w:val="en-GB" w:eastAsia="en-GB"/>
        </w:rPr>
        <mc:AlternateContent>
          <mc:Choice Requires="wps">
            <w:drawing>
              <wp:anchor distT="0" distB="0" distL="114300" distR="114300" simplePos="0" relativeHeight="251667456" behindDoc="0" locked="0" layoutInCell="1" allowOverlap="1" wp14:anchorId="2F4CE26E" wp14:editId="33976550">
                <wp:simplePos x="0" y="0"/>
                <wp:positionH relativeFrom="column">
                  <wp:posOffset>4695825</wp:posOffset>
                </wp:positionH>
                <wp:positionV relativeFrom="paragraph">
                  <wp:posOffset>967105</wp:posOffset>
                </wp:positionV>
                <wp:extent cx="981075" cy="1403985"/>
                <wp:effectExtent l="0" t="0" r="28575" b="2476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403985"/>
                        </a:xfrm>
                        <a:prstGeom prst="rect">
                          <a:avLst/>
                        </a:prstGeom>
                        <a:solidFill>
                          <a:srgbClr val="FFFFFF"/>
                        </a:solidFill>
                        <a:ln w="9525">
                          <a:solidFill>
                            <a:srgbClr val="000000"/>
                          </a:solidFill>
                          <a:miter lim="800000"/>
                          <a:headEnd/>
                          <a:tailEnd/>
                        </a:ln>
                      </wps:spPr>
                      <wps:txbx>
                        <w:txbxContent>
                          <w:p w:rsidR="00E12355" w:rsidRPr="003640AB" w:rsidRDefault="00E12355" w:rsidP="003640AB">
                            <w:pPr>
                              <w:rPr>
                                <w:sz w:val="22"/>
                              </w:rPr>
                            </w:pPr>
                            <w:r w:rsidRPr="003640AB">
                              <w:rPr>
                                <w:sz w:val="22"/>
                              </w:rPr>
                              <w:t>Doncaster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9.75pt;margin-top:76.15pt;width:77.2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">
                <v:textbox style="mso-fit-shape-to-text:t">
                  <w:txbxContent>
                    <w:p w:rsidR="00E12355" w:rsidRPr="003640AB" w:rsidRDefault="00E12355" w:rsidP="003640AB">
                      <w:pPr>
                        <w:rPr>
                          <w:sz w:val="22"/>
                        </w:rPr>
                      </w:pPr>
                      <w:r w:rsidRPr="003640AB">
                        <w:rPr>
                          <w:sz w:val="22"/>
                        </w:rPr>
                        <w:t>Doncaster</w:t>
                      </w:r>
                    </w:p>
                  </w:txbxContent>
                </v:textbox>
              </v:shape>
            </w:pict>
          </mc:Fallback>
        </mc:AlternateContent>
      </w:r>
      <w:r>
        <w:rPr>
          <w:noProof/>
          <w:lang w:val="en-GB" w:eastAsia="en-GB"/>
        </w:rPr>
        <mc:AlternateContent>
          <mc:Choice Requires="wps">
            <w:drawing>
              <wp:anchor distT="0" distB="0" distL="114300" distR="114300" simplePos="0" relativeHeight="251661312" behindDoc="0" locked="0" layoutInCell="1" allowOverlap="1" wp14:anchorId="52166F40" wp14:editId="41B6C523">
                <wp:simplePos x="0" y="0"/>
                <wp:positionH relativeFrom="column">
                  <wp:posOffset>5178425</wp:posOffset>
                </wp:positionH>
                <wp:positionV relativeFrom="paragraph">
                  <wp:posOffset>1223010</wp:posOffset>
                </wp:positionV>
                <wp:extent cx="0" cy="904875"/>
                <wp:effectExtent l="76200" t="0" r="76200" b="47625"/>
                <wp:wrapNone/>
                <wp:docPr id="7" name="Straight Arrow Connector 7"/>
                <wp:cNvGraphicFramePr/>
                <a:graphic xmlns:a="http://schemas.openxmlformats.org/drawingml/2006/main">
                  <a:graphicData uri="http://schemas.microsoft.com/office/word/2010/wordprocessingShape">
                    <wps:wsp>
                      <wps:cNvCnPr/>
                      <wps:spPr>
                        <a:xfrm flipV="1">
                          <a:off x="0" y="0"/>
                          <a:ext cx="0" cy="904875"/>
                        </a:xfrm>
                        <a:prstGeom prst="straightConnector1">
                          <a:avLst/>
                        </a:prstGeom>
                        <a:ln>
                          <a:solidFill>
                            <a:srgbClr val="FF0000"/>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407.75pt;margin-top:96.3pt;width:0;height:71.2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" strokecolor="red">
                <v:stroke startarrow="block"/>
              </v:shape>
            </w:pict>
          </mc:Fallback>
        </mc:AlternateContent>
      </w:r>
      <w:r>
        <w:rPr>
          <w:rFonts w:cs="Arial"/>
          <w:noProof/>
          <w:color w:val="FFFFFF"/>
          <w:sz w:val="2"/>
          <w:szCs w:val="2"/>
          <w:lang w:val="en-GB" w:eastAsia="en-GB"/>
        </w:rPr>
        <w:drawing>
          <wp:inline distT="0" distB="0" distL="0" distR="0" wp14:anchorId="1BB5B638" wp14:editId="251C4867">
            <wp:extent cx="6153785" cy="41568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3785" cy="4156805"/>
                    </a:xfrm>
                    <a:prstGeom prst="rect">
                      <a:avLst/>
                    </a:prstGeom>
                    <a:noFill/>
                    <a:ln>
                      <a:noFill/>
                    </a:ln>
                  </pic:spPr>
                </pic:pic>
              </a:graphicData>
            </a:graphic>
          </wp:inline>
        </w:drawing>
      </w:r>
    </w:p>
    <w:p w:rsidR="00500068" w:rsidRDefault="00500068" w:rsidP="003D046C"/>
    <w:p w:rsidR="00500068" w:rsidRDefault="00500068" w:rsidP="003D046C"/>
    <w:p w:rsidR="00500068" w:rsidRDefault="00500068" w:rsidP="003D046C"/>
    <w:p w:rsidR="00500068" w:rsidRDefault="00500068" w:rsidP="003D046C"/>
    <w:p w:rsidR="00500068" w:rsidRDefault="00500068" w:rsidP="00500068">
      <w:r w:rsidRPr="000A1B52">
        <w:rPr>
          <w:b/>
        </w:rPr>
        <w:t>Figure 4</w:t>
      </w:r>
      <w:r>
        <w:rPr>
          <w:b/>
        </w:rPr>
        <w:t>b</w:t>
      </w:r>
      <w:r w:rsidRPr="000A1B52">
        <w:rPr>
          <w:b/>
        </w:rPr>
        <w:t>:</w:t>
      </w:r>
      <w:r>
        <w:t xml:space="preserve"> Value for Money benchmarking for obesity services (children in year 6)</w:t>
      </w:r>
    </w:p>
    <w:p w:rsidR="003D046C" w:rsidRDefault="00500068" w:rsidP="003D046C">
      <w:r>
        <w:rPr>
          <w:noProof/>
          <w:lang w:val="en-GB" w:eastAsia="en-GB"/>
        </w:rPr>
        <mc:AlternateContent>
          <mc:Choice Requires="wps">
            <w:drawing>
              <wp:anchor distT="0" distB="0" distL="114300" distR="114300" simplePos="0" relativeHeight="251671552" behindDoc="0" locked="0" layoutInCell="1" allowOverlap="1" wp14:anchorId="49126AE3" wp14:editId="629B6DA4">
                <wp:simplePos x="0" y="0"/>
                <wp:positionH relativeFrom="column">
                  <wp:posOffset>539750</wp:posOffset>
                </wp:positionH>
                <wp:positionV relativeFrom="paragraph">
                  <wp:posOffset>1369060</wp:posOffset>
                </wp:positionV>
                <wp:extent cx="0" cy="843916"/>
                <wp:effectExtent l="76200" t="0" r="57150" b="51435"/>
                <wp:wrapNone/>
                <wp:docPr id="15" name="Straight Arrow Connector 15"/>
                <wp:cNvGraphicFramePr/>
                <a:graphic xmlns:a="http://schemas.openxmlformats.org/drawingml/2006/main">
                  <a:graphicData uri="http://schemas.microsoft.com/office/word/2010/wordprocessingShape">
                    <wps:wsp>
                      <wps:cNvCnPr/>
                      <wps:spPr>
                        <a:xfrm flipV="1">
                          <a:off x="0" y="0"/>
                          <a:ext cx="0" cy="843916"/>
                        </a:xfrm>
                        <a:prstGeom prst="straightConnector1">
                          <a:avLst/>
                        </a:prstGeom>
                        <a:noFill/>
                        <a:ln w="9525" cap="flat" cmpd="sng" algn="ctr">
                          <a:solidFill>
                            <a:srgbClr val="FF0000"/>
                          </a:solidFill>
                          <a:prstDash val="solid"/>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42.5pt;margin-top:107.8pt;width:0;height:66.4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" strokecolor="red">
                <v:stroke startarrow="block"/>
              </v:shape>
            </w:pict>
          </mc:Fallback>
        </mc:AlternateContent>
      </w:r>
      <w:r>
        <w:rPr>
          <w:noProof/>
          <w:lang w:val="en-GB" w:eastAsia="en-GB"/>
        </w:rPr>
        <mc:AlternateContent>
          <mc:Choice Requires="wps">
            <w:drawing>
              <wp:anchor distT="0" distB="0" distL="114300" distR="114300" simplePos="0" relativeHeight="251669504" behindDoc="0" locked="0" layoutInCell="1" allowOverlap="1" wp14:anchorId="7FCA0AFC" wp14:editId="051460A8">
                <wp:simplePos x="0" y="0"/>
                <wp:positionH relativeFrom="column">
                  <wp:posOffset>419100</wp:posOffset>
                </wp:positionH>
                <wp:positionV relativeFrom="paragraph">
                  <wp:posOffset>1109345</wp:posOffset>
                </wp:positionV>
                <wp:extent cx="981075" cy="1403985"/>
                <wp:effectExtent l="0" t="0" r="28575" b="2476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403985"/>
                        </a:xfrm>
                        <a:prstGeom prst="rect">
                          <a:avLst/>
                        </a:prstGeom>
                        <a:solidFill>
                          <a:srgbClr val="FFFFFF"/>
                        </a:solidFill>
                        <a:ln w="9525">
                          <a:solidFill>
                            <a:srgbClr val="000000"/>
                          </a:solidFill>
                          <a:miter lim="800000"/>
                          <a:headEnd/>
                          <a:tailEnd/>
                        </a:ln>
                      </wps:spPr>
                      <wps:txbx>
                        <w:txbxContent>
                          <w:p w:rsidR="00E12355" w:rsidRPr="003640AB" w:rsidRDefault="00E12355" w:rsidP="00500068">
                            <w:pPr>
                              <w:rPr>
                                <w:sz w:val="22"/>
                              </w:rPr>
                            </w:pPr>
                            <w:r w:rsidRPr="003640AB">
                              <w:rPr>
                                <w:sz w:val="22"/>
                              </w:rPr>
                              <w:t>Doncaster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33pt;margin-top:87.35pt;width:77.2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">
                <v:textbox style="mso-fit-shape-to-text:t">
                  <w:txbxContent>
                    <w:p w:rsidR="00E12355" w:rsidRPr="003640AB" w:rsidRDefault="00E12355" w:rsidP="00500068">
                      <w:pPr>
                        <w:rPr>
                          <w:sz w:val="22"/>
                        </w:rPr>
                      </w:pPr>
                      <w:r w:rsidRPr="003640AB">
                        <w:rPr>
                          <w:sz w:val="22"/>
                        </w:rPr>
                        <w:t>Doncaster</w:t>
                      </w:r>
                    </w:p>
                  </w:txbxContent>
                </v:textbox>
              </v:shape>
            </w:pict>
          </mc:Fallback>
        </mc:AlternateContent>
      </w:r>
      <w:r>
        <w:rPr>
          <w:rFonts w:cs="Arial"/>
          <w:noProof/>
          <w:color w:val="FFFFFF"/>
          <w:sz w:val="2"/>
          <w:szCs w:val="2"/>
          <w:lang w:val="en-GB" w:eastAsia="en-GB"/>
        </w:rPr>
        <w:drawing>
          <wp:inline distT="0" distB="0" distL="0" distR="0" wp14:anchorId="79CCD14A" wp14:editId="4185EFEE">
            <wp:extent cx="6153785" cy="41568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3785" cy="4156805"/>
                    </a:xfrm>
                    <a:prstGeom prst="rect">
                      <a:avLst/>
                    </a:prstGeom>
                    <a:noFill/>
                    <a:ln>
                      <a:noFill/>
                    </a:ln>
                  </pic:spPr>
                </pic:pic>
              </a:graphicData>
            </a:graphic>
          </wp:inline>
        </w:drawing>
      </w:r>
    </w:p>
    <w:p w:rsidR="008E28BA" w:rsidRDefault="008E28BA" w:rsidP="003D046C">
      <w:r w:rsidRPr="000A1B52">
        <w:rPr>
          <w:b/>
        </w:rPr>
        <w:t xml:space="preserve">Figure </w:t>
      </w:r>
      <w:r w:rsidR="000A1B52" w:rsidRPr="000A1B52">
        <w:rPr>
          <w:b/>
        </w:rPr>
        <w:t>5</w:t>
      </w:r>
      <w:r w:rsidRPr="000A1B52">
        <w:rPr>
          <w:b/>
        </w:rPr>
        <w:t>:</w:t>
      </w:r>
      <w:r>
        <w:t xml:space="preserve"> Value for money benchmarking for smoking service</w:t>
      </w:r>
    </w:p>
    <w:p w:rsidR="003D046C" w:rsidRDefault="00902E75" w:rsidP="003D046C">
      <w:r>
        <w:rPr>
          <w:noProof/>
          <w:lang w:val="en-GB" w:eastAsia="en-GB"/>
        </w:rPr>
        <mc:AlternateContent>
          <mc:Choice Requires="wps">
            <w:drawing>
              <wp:anchor distT="0" distB="0" distL="114300" distR="114300" simplePos="0" relativeHeight="251663360" behindDoc="0" locked="0" layoutInCell="1" allowOverlap="1" wp14:anchorId="4A525474" wp14:editId="537EBB8F">
                <wp:simplePos x="0" y="0"/>
                <wp:positionH relativeFrom="column">
                  <wp:posOffset>5111750</wp:posOffset>
                </wp:positionH>
                <wp:positionV relativeFrom="paragraph">
                  <wp:posOffset>1121410</wp:posOffset>
                </wp:positionV>
                <wp:extent cx="0" cy="805815"/>
                <wp:effectExtent l="76200" t="0" r="57150" b="51435"/>
                <wp:wrapNone/>
                <wp:docPr id="10" name="Straight Arrow Connector 10"/>
                <wp:cNvGraphicFramePr/>
                <a:graphic xmlns:a="http://schemas.openxmlformats.org/drawingml/2006/main">
                  <a:graphicData uri="http://schemas.microsoft.com/office/word/2010/wordprocessingShape">
                    <wps:wsp>
                      <wps:cNvCnPr/>
                      <wps:spPr>
                        <a:xfrm flipV="1">
                          <a:off x="0" y="0"/>
                          <a:ext cx="0" cy="805815"/>
                        </a:xfrm>
                        <a:prstGeom prst="straightConnector1">
                          <a:avLst/>
                        </a:prstGeom>
                        <a:noFill/>
                        <a:ln w="9525" cap="flat" cmpd="sng" algn="ctr">
                          <a:solidFill>
                            <a:srgbClr val="FF0000"/>
                          </a:solidFill>
                          <a:prstDash val="solid"/>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402.5pt;margin-top:88.3pt;width:0;height:63.4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" strokecolor="red">
                <v:stroke startarrow="block"/>
              </v:shape>
            </w:pict>
          </mc:Fallback>
        </mc:AlternateContent>
      </w:r>
      <w:r>
        <w:rPr>
          <w:noProof/>
          <w:lang w:val="en-GB" w:eastAsia="en-GB"/>
        </w:rPr>
        <mc:AlternateContent>
          <mc:Choice Requires="wps">
            <w:drawing>
              <wp:anchor distT="0" distB="0" distL="114300" distR="114300" simplePos="0" relativeHeight="251665408" behindDoc="0" locked="0" layoutInCell="1" allowOverlap="1" wp14:anchorId="3FEE397C" wp14:editId="31203066">
                <wp:simplePos x="0" y="0"/>
                <wp:positionH relativeFrom="column">
                  <wp:posOffset>4638675</wp:posOffset>
                </wp:positionH>
                <wp:positionV relativeFrom="paragraph">
                  <wp:posOffset>864870</wp:posOffset>
                </wp:positionV>
                <wp:extent cx="981075" cy="1403985"/>
                <wp:effectExtent l="0" t="0" r="28575"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403985"/>
                        </a:xfrm>
                        <a:prstGeom prst="rect">
                          <a:avLst/>
                        </a:prstGeom>
                        <a:solidFill>
                          <a:srgbClr val="FFFFFF"/>
                        </a:solidFill>
                        <a:ln w="9525">
                          <a:solidFill>
                            <a:srgbClr val="000000"/>
                          </a:solidFill>
                          <a:miter lim="800000"/>
                          <a:headEnd/>
                          <a:tailEnd/>
                        </a:ln>
                      </wps:spPr>
                      <wps:txbx>
                        <w:txbxContent>
                          <w:p w:rsidR="00E12355" w:rsidRPr="003640AB" w:rsidRDefault="00E12355">
                            <w:pPr>
                              <w:rPr>
                                <w:sz w:val="22"/>
                              </w:rPr>
                            </w:pPr>
                            <w:r w:rsidRPr="003640AB">
                              <w:rPr>
                                <w:sz w:val="22"/>
                              </w:rPr>
                              <w:t>Doncaster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65.25pt;margin-top:68.1pt;width:77.2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">
                <v:textbox style="mso-fit-shape-to-text:t">
                  <w:txbxContent>
                    <w:p w:rsidR="00E12355" w:rsidRPr="003640AB" w:rsidRDefault="00E12355">
                      <w:pPr>
                        <w:rPr>
                          <w:sz w:val="22"/>
                        </w:rPr>
                      </w:pPr>
                      <w:r w:rsidRPr="003640AB">
                        <w:rPr>
                          <w:sz w:val="22"/>
                        </w:rPr>
                        <w:t>Doncaster</w:t>
                      </w:r>
                    </w:p>
                  </w:txbxContent>
                </v:textbox>
              </v:shape>
            </w:pict>
          </mc:Fallback>
        </mc:AlternateContent>
      </w:r>
      <w:r>
        <w:rPr>
          <w:rFonts w:cs="Arial"/>
          <w:noProof/>
          <w:color w:val="FFFFFF"/>
          <w:sz w:val="2"/>
          <w:szCs w:val="2"/>
          <w:lang w:val="en-GB" w:eastAsia="en-GB"/>
        </w:rPr>
        <w:drawing>
          <wp:inline distT="0" distB="0" distL="0" distR="0" wp14:anchorId="3AED978A" wp14:editId="47DB64D8">
            <wp:extent cx="6153785" cy="41568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3785" cy="4156805"/>
                    </a:xfrm>
                    <a:prstGeom prst="rect">
                      <a:avLst/>
                    </a:prstGeom>
                    <a:noFill/>
                    <a:ln>
                      <a:noFill/>
                    </a:ln>
                  </pic:spPr>
                </pic:pic>
              </a:graphicData>
            </a:graphic>
          </wp:inline>
        </w:drawing>
      </w:r>
    </w:p>
    <w:p w:rsidR="008E28BA" w:rsidRPr="001D4F05" w:rsidRDefault="008E28BA" w:rsidP="001D4F05">
      <w:pPr>
        <w:overflowPunct/>
        <w:autoSpaceDE/>
        <w:autoSpaceDN/>
        <w:adjustRightInd/>
        <w:spacing w:after="200"/>
        <w:textAlignment w:val="auto"/>
        <w:rPr>
          <w:rFonts w:eastAsia="Calibri" w:cs="Arial"/>
          <w:sz w:val="22"/>
          <w:szCs w:val="24"/>
          <w:lang w:val="en-GB"/>
        </w:rPr>
        <w:sectPr w:rsidR="008E28BA" w:rsidRPr="001D4F05" w:rsidSect="00893B48">
          <w:pgSz w:w="11909" w:h="16834"/>
          <w:pgMar w:top="1440" w:right="1440" w:bottom="1440" w:left="1440" w:header="706" w:footer="706" w:gutter="0"/>
          <w:pgNumType w:start="1"/>
          <w:cols w:space="720"/>
          <w:docGrid w:linePitch="326"/>
        </w:sectPr>
      </w:pPr>
    </w:p>
    <w:p w:rsidR="0083566B" w:rsidRDefault="000A1B52" w:rsidP="0083566B">
      <w:pPr>
        <w:pStyle w:val="ListParagraph"/>
        <w:spacing w:after="0" w:line="240" w:lineRule="auto"/>
        <w:ind w:left="0"/>
        <w:contextualSpacing w:val="0"/>
        <w:rPr>
          <w:noProof/>
          <w:lang w:eastAsia="en-GB"/>
        </w:rPr>
      </w:pPr>
      <w:r>
        <w:rPr>
          <w:noProof/>
          <w:lang w:eastAsia="en-GB"/>
        </w:rPr>
        <w:lastRenderedPageBreak/>
        <mc:AlternateContent>
          <mc:Choice Requires="wps">
            <w:drawing>
              <wp:anchor distT="0" distB="0" distL="114300" distR="114300" simplePos="0" relativeHeight="251659264" behindDoc="0" locked="0" layoutInCell="1" allowOverlap="1" wp14:anchorId="0654309D" wp14:editId="66D99A2D">
                <wp:simplePos x="0" y="0"/>
                <wp:positionH relativeFrom="column">
                  <wp:posOffset>0</wp:posOffset>
                </wp:positionH>
                <wp:positionV relativeFrom="paragraph">
                  <wp:posOffset>-655954</wp:posOffset>
                </wp:positionV>
                <wp:extent cx="6600825" cy="476250"/>
                <wp:effectExtent l="0" t="0" r="0" b="0"/>
                <wp:wrapNone/>
                <wp:docPr id="273" name="Rectangle 273"/>
                <wp:cNvGraphicFramePr/>
                <a:graphic xmlns:a="http://schemas.openxmlformats.org/drawingml/2006/main">
                  <a:graphicData uri="http://schemas.microsoft.com/office/word/2010/wordprocessingShape">
                    <wps:wsp>
                      <wps:cNvSpPr/>
                      <wps:spPr>
                        <a:xfrm>
                          <a:off x="0" y="0"/>
                          <a:ext cx="6600825" cy="4762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E12355" w:rsidRPr="000A1B52" w:rsidRDefault="00E12355" w:rsidP="0083566B">
                            <w:pPr>
                              <w:pStyle w:val="ListParagraph"/>
                              <w:spacing w:after="0" w:line="240" w:lineRule="auto"/>
                              <w:ind w:left="0"/>
                              <w:contextualSpacing w:val="0"/>
                              <w:rPr>
                                <w:rFonts w:ascii="Arial" w:hAnsi="Arial" w:cs="Arial"/>
                                <w:b/>
                              </w:rPr>
                            </w:pPr>
                            <w:r w:rsidRPr="000A1B52">
                              <w:rPr>
                                <w:rFonts w:ascii="Arial" w:hAnsi="Arial" w:cs="Arial"/>
                                <w:b/>
                              </w:rPr>
                              <w:t xml:space="preserve">Figure 6: </w:t>
                            </w:r>
                            <w:r>
                              <w:rPr>
                                <w:rFonts w:ascii="Arial" w:hAnsi="Arial" w:cs="Arial"/>
                                <w:b/>
                              </w:rPr>
                              <w:t>I</w:t>
                            </w:r>
                            <w:r w:rsidRPr="000A1B52">
                              <w:rPr>
                                <w:rFonts w:ascii="Arial" w:hAnsi="Arial" w:cs="Arial"/>
                              </w:rPr>
                              <w:t>ndicators used to monitor the impact of public health investment locally (PHE, September 2016)</w:t>
                            </w:r>
                          </w:p>
                          <w:p w:rsidR="00E12355" w:rsidRDefault="00E12355" w:rsidP="008356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3" o:spid="_x0000_s1029" style="position:absolute;margin-left:0;margin-top:-51.65pt;width:519.75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" filled="f" stroked="f" strokeweight="2pt">
                <v:textbox>
                  <w:txbxContent>
                    <w:p w:rsidR="00E12355" w:rsidRPr="000A1B52" w:rsidRDefault="00E12355" w:rsidP="0083566B">
                      <w:pPr>
                        <w:pStyle w:val="ListParagraph"/>
                        <w:spacing w:after="0" w:line="240" w:lineRule="auto"/>
                        <w:ind w:left="0"/>
                        <w:contextualSpacing w:val="0"/>
                        <w:rPr>
                          <w:rFonts w:ascii="Arial" w:hAnsi="Arial" w:cs="Arial"/>
                          <w:b/>
                        </w:rPr>
                      </w:pPr>
                      <w:r w:rsidRPr="000A1B52">
                        <w:rPr>
                          <w:rFonts w:ascii="Arial" w:hAnsi="Arial" w:cs="Arial"/>
                          <w:b/>
                        </w:rPr>
                        <w:t xml:space="preserve">Figure 6: </w:t>
                      </w:r>
                      <w:r>
                        <w:rPr>
                          <w:rFonts w:ascii="Arial" w:hAnsi="Arial" w:cs="Arial"/>
                          <w:b/>
                        </w:rPr>
                        <w:t>I</w:t>
                      </w:r>
                      <w:r w:rsidRPr="000A1B52">
                        <w:rPr>
                          <w:rFonts w:ascii="Arial" w:hAnsi="Arial" w:cs="Arial"/>
                        </w:rPr>
                        <w:t>ndicators used to monitor the impact of public health investment locally (PHE, September 2016)</w:t>
                      </w:r>
                    </w:p>
                    <w:p w:rsidR="00E12355" w:rsidRDefault="00E12355" w:rsidP="0083566B">
                      <w:pPr>
                        <w:jc w:val="center"/>
                      </w:pPr>
                    </w:p>
                  </w:txbxContent>
                </v:textbox>
              </v:rect>
            </w:pict>
          </mc:Fallback>
        </mc:AlternateContent>
      </w:r>
      <w:r w:rsidR="0083566B">
        <w:rPr>
          <w:noProof/>
          <w:lang w:eastAsia="en-GB"/>
        </w:rPr>
        <w:drawing>
          <wp:inline distT="0" distB="0" distL="0" distR="0" wp14:anchorId="5BDDE3C3" wp14:editId="6A7785C8">
            <wp:extent cx="9057640" cy="5703751"/>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9057640" cy="5703751"/>
                    </a:xfrm>
                    <a:prstGeom prst="rect">
                      <a:avLst/>
                    </a:prstGeom>
                  </pic:spPr>
                </pic:pic>
              </a:graphicData>
            </a:graphic>
          </wp:inline>
        </w:drawing>
      </w:r>
      <w:r w:rsidR="0083566B">
        <w:rPr>
          <w:noProof/>
          <w:color w:val="98002E"/>
          <w:sz w:val="23"/>
          <w:szCs w:val="23"/>
          <w:lang w:eastAsia="en-GB"/>
        </w:rPr>
        <mc:AlternateContent>
          <mc:Choice Requires="wps">
            <w:drawing>
              <wp:anchor distT="0" distB="0" distL="114300" distR="114300" simplePos="0" relativeHeight="251660288" behindDoc="0" locked="0" layoutInCell="1" allowOverlap="1" wp14:anchorId="74A80AB0" wp14:editId="6DAEE969">
                <wp:simplePos x="0" y="0"/>
                <wp:positionH relativeFrom="column">
                  <wp:posOffset>-167184</wp:posOffset>
                </wp:positionH>
                <wp:positionV relativeFrom="paragraph">
                  <wp:posOffset>76200</wp:posOffset>
                </wp:positionV>
                <wp:extent cx="1519734" cy="0"/>
                <wp:effectExtent l="38100" t="38100" r="61595" b="95250"/>
                <wp:wrapNone/>
                <wp:docPr id="274" name="Straight Connector 274"/>
                <wp:cNvGraphicFramePr/>
                <a:graphic xmlns:a="http://schemas.openxmlformats.org/drawingml/2006/main">
                  <a:graphicData uri="http://schemas.microsoft.com/office/word/2010/wordprocessingShape">
                    <wps:wsp>
                      <wps:cNvCnPr/>
                      <wps:spPr>
                        <a:xfrm>
                          <a:off x="0" y="0"/>
                          <a:ext cx="1519734" cy="0"/>
                        </a:xfrm>
                        <a:prstGeom prst="line">
                          <a:avLst/>
                        </a:prstGeom>
                        <a:ln w="6350"/>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7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15pt,6pt" to="10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" strokecolor="black [3200]" strokeweight=".5pt">
                <v:shadow on="t" color="black" opacity="24903f" origin=",.5" offset="0,.55556mm"/>
              </v:line>
            </w:pict>
          </mc:Fallback>
        </mc:AlternateContent>
      </w:r>
    </w:p>
    <w:p w:rsidR="0083566B" w:rsidRDefault="0083566B" w:rsidP="003509B1">
      <w:pPr>
        <w:overflowPunct/>
        <w:autoSpaceDE/>
        <w:autoSpaceDN/>
        <w:adjustRightInd/>
        <w:spacing w:after="200" w:line="276" w:lineRule="auto"/>
        <w:textAlignment w:val="auto"/>
        <w:rPr>
          <w:rFonts w:eastAsia="Calibri" w:cs="Arial"/>
          <w:szCs w:val="24"/>
          <w:lang w:val="en-GB"/>
        </w:rPr>
        <w:sectPr w:rsidR="0083566B" w:rsidSect="00BE0F0F">
          <w:pgSz w:w="16834" w:h="11909" w:orient="landscape"/>
          <w:pgMar w:top="965" w:right="720" w:bottom="1253" w:left="1440" w:header="706" w:footer="706" w:gutter="0"/>
          <w:cols w:space="720"/>
          <w:docGrid w:linePitch="326"/>
        </w:sectPr>
      </w:pPr>
    </w:p>
    <w:p w:rsidR="00BD0CFD" w:rsidRDefault="003509B1" w:rsidP="00A61629">
      <w:pPr>
        <w:overflowPunct/>
        <w:autoSpaceDE/>
        <w:autoSpaceDN/>
        <w:adjustRightInd/>
        <w:spacing w:after="200" w:line="276" w:lineRule="auto"/>
        <w:jc w:val="both"/>
        <w:textAlignment w:val="auto"/>
        <w:rPr>
          <w:rFonts w:eastAsia="Calibri" w:cs="Arial"/>
          <w:sz w:val="22"/>
          <w:szCs w:val="22"/>
          <w:lang w:val="en-GB"/>
        </w:rPr>
      </w:pPr>
      <w:r w:rsidRPr="00A82725">
        <w:rPr>
          <w:rFonts w:eastAsia="Calibri" w:cs="Arial"/>
          <w:b/>
          <w:sz w:val="22"/>
          <w:szCs w:val="22"/>
          <w:lang w:val="en-GB"/>
        </w:rPr>
        <w:lastRenderedPageBreak/>
        <w:t>Cost-Effectiveness and Return on Investment</w:t>
      </w:r>
      <w:r w:rsidR="00BE0F0F">
        <w:rPr>
          <w:rFonts w:eastAsia="Calibri" w:cs="Arial"/>
          <w:b/>
          <w:sz w:val="22"/>
          <w:szCs w:val="22"/>
          <w:lang w:val="en-GB"/>
        </w:rPr>
        <w:t>:</w:t>
      </w:r>
      <w:r w:rsidRPr="00A82725">
        <w:rPr>
          <w:rFonts w:eastAsia="Calibri" w:cs="Arial"/>
          <w:sz w:val="22"/>
          <w:szCs w:val="22"/>
          <w:lang w:val="en-GB"/>
        </w:rPr>
        <w:t xml:space="preserve"> Public health services are commissioned according to National Institute </w:t>
      </w:r>
      <w:r w:rsidR="002C240A">
        <w:rPr>
          <w:rFonts w:eastAsia="Calibri" w:cs="Arial"/>
          <w:sz w:val="22"/>
          <w:szCs w:val="22"/>
          <w:lang w:val="en-GB"/>
        </w:rPr>
        <w:t>for</w:t>
      </w:r>
      <w:r w:rsidRPr="00A82725">
        <w:rPr>
          <w:rFonts w:eastAsia="Calibri" w:cs="Arial"/>
          <w:sz w:val="22"/>
          <w:szCs w:val="22"/>
          <w:lang w:val="en-GB"/>
        </w:rPr>
        <w:t xml:space="preserve"> Health and C</w:t>
      </w:r>
      <w:r w:rsidR="002C240A">
        <w:rPr>
          <w:rFonts w:eastAsia="Calibri" w:cs="Arial"/>
          <w:sz w:val="22"/>
          <w:szCs w:val="22"/>
          <w:lang w:val="en-GB"/>
        </w:rPr>
        <w:t>are</w:t>
      </w:r>
      <w:r w:rsidRPr="00A82725">
        <w:rPr>
          <w:rFonts w:eastAsia="Calibri" w:cs="Arial"/>
          <w:sz w:val="22"/>
          <w:szCs w:val="22"/>
          <w:lang w:val="en-GB"/>
        </w:rPr>
        <w:t xml:space="preserve"> Excellence (NICE) guidance. Where these interventions are recommend they are deemed to be cost-effective and generate significant returns on investment for the local economy. For example</w:t>
      </w:r>
      <w:r w:rsidR="00E1396E">
        <w:rPr>
          <w:rFonts w:eastAsia="Calibri" w:cs="Arial"/>
          <w:sz w:val="22"/>
          <w:szCs w:val="22"/>
          <w:lang w:val="en-GB"/>
        </w:rPr>
        <w:t>,</w:t>
      </w:r>
      <w:r w:rsidRPr="00A82725">
        <w:rPr>
          <w:rFonts w:eastAsia="Calibri" w:cs="Arial"/>
          <w:sz w:val="22"/>
          <w:szCs w:val="22"/>
          <w:lang w:val="en-GB"/>
        </w:rPr>
        <w:t xml:space="preserve"> see the </w:t>
      </w:r>
      <w:r w:rsidR="00F604BC">
        <w:rPr>
          <w:rFonts w:eastAsia="Calibri" w:cs="Arial"/>
          <w:sz w:val="22"/>
          <w:szCs w:val="22"/>
          <w:lang w:val="en-GB"/>
        </w:rPr>
        <w:t xml:space="preserve">estimated costs </w:t>
      </w:r>
      <w:r w:rsidRPr="00A82725">
        <w:rPr>
          <w:rFonts w:eastAsia="Calibri" w:cs="Arial"/>
          <w:sz w:val="22"/>
          <w:szCs w:val="22"/>
          <w:lang w:val="en-GB"/>
        </w:rPr>
        <w:t>of tobacco</w:t>
      </w:r>
      <w:r w:rsidR="00F604BC">
        <w:rPr>
          <w:rFonts w:eastAsia="Calibri" w:cs="Arial"/>
          <w:sz w:val="22"/>
          <w:szCs w:val="22"/>
          <w:lang w:val="en-GB"/>
        </w:rPr>
        <w:t xml:space="preserve"> to the people of Doncaster, as shown</w:t>
      </w:r>
      <w:r w:rsidR="00BD0CFD">
        <w:rPr>
          <w:rFonts w:eastAsia="Calibri" w:cs="Arial"/>
          <w:sz w:val="22"/>
          <w:szCs w:val="22"/>
          <w:lang w:val="en-GB"/>
        </w:rPr>
        <w:t xml:space="preserve"> </w:t>
      </w:r>
      <w:r w:rsidR="00E1396E">
        <w:rPr>
          <w:rFonts w:eastAsia="Calibri" w:cs="Arial"/>
          <w:sz w:val="22"/>
          <w:szCs w:val="22"/>
          <w:lang w:val="en-GB"/>
        </w:rPr>
        <w:t xml:space="preserve">in </w:t>
      </w:r>
      <w:r w:rsidR="00BD0CFD">
        <w:rPr>
          <w:rFonts w:eastAsia="Calibri" w:cs="Arial"/>
          <w:sz w:val="22"/>
          <w:szCs w:val="22"/>
          <w:lang w:val="en-GB"/>
        </w:rPr>
        <w:t xml:space="preserve">Figure </w:t>
      </w:r>
      <w:r w:rsidR="000A1B52">
        <w:rPr>
          <w:rFonts w:eastAsia="Calibri" w:cs="Arial"/>
          <w:sz w:val="22"/>
          <w:szCs w:val="22"/>
          <w:lang w:val="en-GB"/>
        </w:rPr>
        <w:t>7</w:t>
      </w:r>
      <w:r w:rsidR="00BD0CFD">
        <w:rPr>
          <w:rFonts w:eastAsia="Calibri" w:cs="Arial"/>
          <w:sz w:val="22"/>
          <w:szCs w:val="22"/>
          <w:lang w:val="en-GB"/>
        </w:rPr>
        <w:t>.</w:t>
      </w:r>
    </w:p>
    <w:p w:rsidR="00C55C10" w:rsidRDefault="000A1B52" w:rsidP="00BD0CFD">
      <w:pPr>
        <w:overflowPunct/>
        <w:autoSpaceDE/>
        <w:autoSpaceDN/>
        <w:adjustRightInd/>
        <w:spacing w:after="200" w:line="276" w:lineRule="auto"/>
        <w:ind w:left="180"/>
        <w:textAlignment w:val="auto"/>
        <w:rPr>
          <w:rFonts w:eastAsia="Calibri" w:cs="Arial"/>
          <w:sz w:val="22"/>
          <w:szCs w:val="22"/>
          <w:lang w:val="en-GB"/>
        </w:rPr>
      </w:pPr>
      <w:r>
        <w:rPr>
          <w:rFonts w:eastAsia="Calibri" w:cs="Arial"/>
          <w:b/>
          <w:sz w:val="22"/>
          <w:szCs w:val="22"/>
          <w:lang w:val="en-GB"/>
        </w:rPr>
        <w:t>Figure 7</w:t>
      </w:r>
      <w:r w:rsidR="00BD0CFD" w:rsidRPr="00F974F5">
        <w:rPr>
          <w:rFonts w:eastAsia="Calibri" w:cs="Arial"/>
          <w:b/>
          <w:sz w:val="22"/>
          <w:szCs w:val="22"/>
          <w:lang w:val="en-GB"/>
        </w:rPr>
        <w:t>:</w:t>
      </w:r>
      <w:r w:rsidR="00BD0CFD">
        <w:rPr>
          <w:rFonts w:eastAsia="Calibri" w:cs="Arial"/>
          <w:sz w:val="22"/>
          <w:szCs w:val="22"/>
          <w:lang w:val="en-GB"/>
        </w:rPr>
        <w:t xml:space="preserve"> Estimated cost of smoking in Doncaster</w:t>
      </w:r>
      <w:r w:rsidR="00BD0CFD">
        <w:rPr>
          <w:noProof/>
          <w:lang w:val="en-GB" w:eastAsia="en-GB"/>
        </w:rPr>
        <w:drawing>
          <wp:inline distT="0" distB="0" distL="0" distR="0" wp14:anchorId="6A3D5B80" wp14:editId="4EEC2F2A">
            <wp:extent cx="5943600" cy="3911600"/>
            <wp:effectExtent l="0" t="0" r="19050"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349BF" w:rsidRDefault="00F349BF" w:rsidP="003509B1">
      <w:pPr>
        <w:overflowPunct/>
        <w:autoSpaceDE/>
        <w:autoSpaceDN/>
        <w:adjustRightInd/>
        <w:spacing w:after="200" w:line="276" w:lineRule="auto"/>
        <w:ind w:left="180"/>
        <w:textAlignment w:val="auto"/>
        <w:rPr>
          <w:rFonts w:eastAsia="Calibri" w:cs="Arial"/>
          <w:sz w:val="22"/>
          <w:szCs w:val="22"/>
          <w:lang w:val="en-GB"/>
        </w:rPr>
      </w:pPr>
      <w:r>
        <w:rPr>
          <w:rFonts w:eastAsia="Calibri" w:cs="Arial"/>
          <w:sz w:val="22"/>
          <w:szCs w:val="22"/>
          <w:lang w:val="en-GB"/>
        </w:rPr>
        <w:t>Source: ASH Ready Reckoner, 2016.</w:t>
      </w:r>
    </w:p>
    <w:p w:rsidR="000613F5" w:rsidRPr="00A82725" w:rsidRDefault="000613F5" w:rsidP="003509B1">
      <w:pPr>
        <w:overflowPunct/>
        <w:autoSpaceDE/>
        <w:autoSpaceDN/>
        <w:adjustRightInd/>
        <w:spacing w:after="200" w:line="276" w:lineRule="auto"/>
        <w:ind w:left="180"/>
        <w:textAlignment w:val="auto"/>
        <w:rPr>
          <w:rFonts w:eastAsia="Calibri" w:cs="Arial"/>
          <w:sz w:val="22"/>
          <w:szCs w:val="22"/>
          <w:lang w:val="en-GB"/>
        </w:rPr>
      </w:pPr>
    </w:p>
    <w:p w:rsidR="003509B1" w:rsidRDefault="00341D2C" w:rsidP="003509B1">
      <w:pPr>
        <w:pStyle w:val="Heading2"/>
      </w:pPr>
      <w:bookmarkStart w:id="12" w:name="_Toc483994450"/>
      <w:r>
        <w:t>2.7</w:t>
      </w:r>
      <w:r>
        <w:tab/>
      </w:r>
      <w:r w:rsidR="003509B1">
        <w:t>Principle 8: Building Sustainability</w:t>
      </w:r>
      <w:bookmarkEnd w:id="12"/>
      <w:r w:rsidR="003509B1">
        <w:t xml:space="preserve"> </w:t>
      </w:r>
    </w:p>
    <w:p w:rsidR="003509B1" w:rsidRDefault="003509B1" w:rsidP="001D4F05">
      <w:pPr>
        <w:overflowPunct/>
        <w:autoSpaceDE/>
        <w:autoSpaceDN/>
        <w:adjustRightInd/>
        <w:spacing w:after="200"/>
        <w:ind w:left="180"/>
        <w:textAlignment w:val="auto"/>
        <w:rPr>
          <w:rFonts w:eastAsia="Calibri" w:cs="Arial"/>
          <w:sz w:val="22"/>
          <w:szCs w:val="22"/>
          <w:lang w:val="en-GB"/>
        </w:rPr>
      </w:pPr>
    </w:p>
    <w:p w:rsidR="003509B1" w:rsidRDefault="003509B1" w:rsidP="00A61629">
      <w:pPr>
        <w:overflowPunct/>
        <w:autoSpaceDE/>
        <w:autoSpaceDN/>
        <w:adjustRightInd/>
        <w:spacing w:after="200" w:line="276" w:lineRule="auto"/>
        <w:ind w:left="181"/>
        <w:jc w:val="both"/>
        <w:textAlignment w:val="auto"/>
        <w:rPr>
          <w:rFonts w:eastAsia="Calibri" w:cs="Arial"/>
          <w:sz w:val="22"/>
          <w:szCs w:val="22"/>
        </w:rPr>
      </w:pPr>
      <w:r w:rsidRPr="00E81803">
        <w:rPr>
          <w:rFonts w:eastAsia="Calibri" w:cs="Arial"/>
          <w:sz w:val="22"/>
          <w:szCs w:val="22"/>
        </w:rPr>
        <w:t xml:space="preserve">In line with DMBC </w:t>
      </w:r>
      <w:r w:rsidR="000E54FA">
        <w:rPr>
          <w:rFonts w:eastAsia="Calibri" w:cs="Arial"/>
          <w:sz w:val="22"/>
          <w:szCs w:val="22"/>
        </w:rPr>
        <w:t>policies,</w:t>
      </w:r>
      <w:r w:rsidR="000E54FA" w:rsidRPr="00E81803">
        <w:rPr>
          <w:rFonts w:eastAsia="Calibri" w:cs="Arial"/>
          <w:sz w:val="22"/>
          <w:szCs w:val="22"/>
        </w:rPr>
        <w:t xml:space="preserve"> </w:t>
      </w:r>
      <w:r w:rsidRPr="00E81803">
        <w:rPr>
          <w:rFonts w:eastAsia="Calibri" w:cs="Arial"/>
          <w:sz w:val="22"/>
          <w:szCs w:val="22"/>
        </w:rPr>
        <w:t xml:space="preserve">the </w:t>
      </w:r>
      <w:r w:rsidR="002C240A">
        <w:rPr>
          <w:rFonts w:eastAsia="Calibri" w:cs="Arial"/>
          <w:sz w:val="22"/>
          <w:szCs w:val="22"/>
        </w:rPr>
        <w:t>P</w:t>
      </w:r>
      <w:r w:rsidRPr="00E81803">
        <w:rPr>
          <w:rFonts w:eastAsia="Calibri" w:cs="Arial"/>
          <w:sz w:val="22"/>
          <w:szCs w:val="22"/>
        </w:rPr>
        <w:t xml:space="preserve">ublic </w:t>
      </w:r>
      <w:r w:rsidR="002C240A">
        <w:rPr>
          <w:rFonts w:eastAsia="Calibri" w:cs="Arial"/>
          <w:sz w:val="22"/>
          <w:szCs w:val="22"/>
        </w:rPr>
        <w:t>H</w:t>
      </w:r>
      <w:r w:rsidRPr="00E81803">
        <w:rPr>
          <w:rFonts w:eastAsia="Calibri" w:cs="Arial"/>
          <w:sz w:val="22"/>
          <w:szCs w:val="22"/>
        </w:rPr>
        <w:t xml:space="preserve">ealth </w:t>
      </w:r>
      <w:r w:rsidR="000E54FA">
        <w:rPr>
          <w:rFonts w:eastAsia="Calibri" w:cs="Arial"/>
          <w:sz w:val="22"/>
          <w:szCs w:val="22"/>
        </w:rPr>
        <w:t xml:space="preserve">team </w:t>
      </w:r>
      <w:r w:rsidRPr="00E81803">
        <w:rPr>
          <w:rFonts w:eastAsia="Calibri" w:cs="Arial"/>
          <w:sz w:val="22"/>
          <w:szCs w:val="22"/>
        </w:rPr>
        <w:t xml:space="preserve">is looking to work with suppliers that are sustainable and contribute to reducing </w:t>
      </w:r>
      <w:proofErr w:type="spellStart"/>
      <w:r w:rsidRPr="00E81803">
        <w:rPr>
          <w:rFonts w:eastAsia="Calibri" w:cs="Arial"/>
          <w:sz w:val="22"/>
          <w:szCs w:val="22"/>
        </w:rPr>
        <w:t>Doncaster’s</w:t>
      </w:r>
      <w:proofErr w:type="spellEnd"/>
      <w:r w:rsidRPr="00E81803">
        <w:rPr>
          <w:rFonts w:eastAsia="Calibri" w:cs="Arial"/>
          <w:sz w:val="22"/>
          <w:szCs w:val="22"/>
        </w:rPr>
        <w:t xml:space="preserve"> carbon footprint.</w:t>
      </w:r>
    </w:p>
    <w:p w:rsidR="000613F5" w:rsidRDefault="003509B1" w:rsidP="00A61629">
      <w:pPr>
        <w:overflowPunct/>
        <w:autoSpaceDE/>
        <w:autoSpaceDN/>
        <w:adjustRightInd/>
        <w:spacing w:after="200" w:line="276" w:lineRule="auto"/>
        <w:ind w:left="181"/>
        <w:jc w:val="both"/>
        <w:textAlignment w:val="auto"/>
        <w:rPr>
          <w:rFonts w:eastAsia="Calibri" w:cs="Arial"/>
          <w:sz w:val="22"/>
          <w:szCs w:val="22"/>
          <w:lang w:val="en-GB"/>
        </w:rPr>
      </w:pPr>
      <w:r w:rsidRPr="00D268F6">
        <w:rPr>
          <w:rFonts w:eastAsia="Calibri" w:cs="Arial"/>
          <w:sz w:val="22"/>
          <w:szCs w:val="22"/>
          <w:lang w:val="en-GB"/>
        </w:rPr>
        <w:t xml:space="preserve">Public </w:t>
      </w:r>
      <w:proofErr w:type="gramStart"/>
      <w:r w:rsidRPr="00D268F6">
        <w:rPr>
          <w:rFonts w:eastAsia="Calibri" w:cs="Arial"/>
          <w:sz w:val="22"/>
          <w:szCs w:val="22"/>
          <w:lang w:val="en-GB"/>
        </w:rPr>
        <w:t>health commissioned services are</w:t>
      </w:r>
      <w:proofErr w:type="gramEnd"/>
      <w:r w:rsidRPr="00D268F6">
        <w:rPr>
          <w:rFonts w:eastAsia="Calibri" w:cs="Arial"/>
          <w:sz w:val="22"/>
          <w:szCs w:val="22"/>
          <w:lang w:val="en-GB"/>
        </w:rPr>
        <w:t xml:space="preserve"> labour intensive. </w:t>
      </w:r>
      <w:r>
        <w:rPr>
          <w:rFonts w:eastAsia="Calibri" w:cs="Arial"/>
          <w:sz w:val="22"/>
          <w:szCs w:val="22"/>
          <w:lang w:val="en-GB"/>
        </w:rPr>
        <w:t xml:space="preserve">Any changes to these services including updated delivery models or reduced investment are likely to result in </w:t>
      </w:r>
      <w:r w:rsidRPr="00D268F6">
        <w:rPr>
          <w:rFonts w:eastAsia="Calibri" w:cs="Arial"/>
          <w:sz w:val="22"/>
          <w:szCs w:val="22"/>
          <w:lang w:val="en-GB"/>
        </w:rPr>
        <w:t xml:space="preserve">reduced income to our local providers and this is likely to be managed through reduced staffing </w:t>
      </w:r>
      <w:r>
        <w:rPr>
          <w:rFonts w:eastAsia="Calibri" w:cs="Arial"/>
          <w:sz w:val="22"/>
          <w:szCs w:val="22"/>
          <w:lang w:val="en-GB"/>
        </w:rPr>
        <w:t xml:space="preserve">and/or changed staffing levels </w:t>
      </w:r>
      <w:r w:rsidRPr="00D268F6">
        <w:rPr>
          <w:rFonts w:eastAsia="Calibri" w:cs="Arial"/>
          <w:sz w:val="22"/>
          <w:szCs w:val="22"/>
          <w:lang w:val="en-GB"/>
        </w:rPr>
        <w:t xml:space="preserve">within those local providers. Any tendering exercise may bring regional or national providers to Doncaster further affecting local providers and jobs. </w:t>
      </w:r>
      <w:r>
        <w:rPr>
          <w:rFonts w:eastAsia="Calibri" w:cs="Arial"/>
          <w:sz w:val="22"/>
          <w:szCs w:val="22"/>
          <w:lang w:val="en-GB"/>
        </w:rPr>
        <w:t xml:space="preserve">The directorate is keen to explore how other commissioning approaches including Alliance Commissioning could ensure providers are as sustainable as possible. </w:t>
      </w:r>
    </w:p>
    <w:p w:rsidR="00A61629" w:rsidRDefault="00A61629" w:rsidP="00A61629">
      <w:pPr>
        <w:overflowPunct/>
        <w:autoSpaceDE/>
        <w:autoSpaceDN/>
        <w:adjustRightInd/>
        <w:spacing w:after="200" w:line="276" w:lineRule="auto"/>
        <w:ind w:left="181"/>
        <w:jc w:val="both"/>
        <w:textAlignment w:val="auto"/>
        <w:rPr>
          <w:rFonts w:eastAsia="Calibri" w:cs="Arial"/>
          <w:sz w:val="22"/>
          <w:szCs w:val="22"/>
          <w:lang w:val="en-GB"/>
        </w:rPr>
      </w:pPr>
    </w:p>
    <w:p w:rsidR="00A61629" w:rsidRDefault="00A61629" w:rsidP="00A61629">
      <w:pPr>
        <w:overflowPunct/>
        <w:autoSpaceDE/>
        <w:autoSpaceDN/>
        <w:adjustRightInd/>
        <w:spacing w:after="200" w:line="276" w:lineRule="auto"/>
        <w:ind w:left="181"/>
        <w:jc w:val="both"/>
        <w:textAlignment w:val="auto"/>
        <w:rPr>
          <w:rFonts w:eastAsia="Calibri" w:cs="Arial"/>
          <w:sz w:val="22"/>
          <w:szCs w:val="22"/>
          <w:lang w:val="en-GB"/>
        </w:rPr>
      </w:pPr>
    </w:p>
    <w:p w:rsidR="003509B1" w:rsidRDefault="00341D2C" w:rsidP="001D4F05">
      <w:pPr>
        <w:pStyle w:val="Heading2"/>
        <w:ind w:firstLine="142"/>
      </w:pPr>
      <w:bookmarkStart w:id="13" w:name="_Toc483994451"/>
      <w:r>
        <w:lastRenderedPageBreak/>
        <w:t>2.8</w:t>
      </w:r>
      <w:r>
        <w:tab/>
      </w:r>
      <w:r w:rsidR="003509B1">
        <w:t>Principle 9:</w:t>
      </w:r>
      <w:r w:rsidR="003509B1" w:rsidRPr="00EF3D98">
        <w:t xml:space="preserve"> </w:t>
      </w:r>
      <w:r w:rsidR="003509B1">
        <w:t>Market Stimulation and Development</w:t>
      </w:r>
      <w:bookmarkEnd w:id="13"/>
    </w:p>
    <w:p w:rsidR="003509B1" w:rsidRDefault="003509B1" w:rsidP="001D4F05">
      <w:pPr>
        <w:overflowPunct/>
        <w:autoSpaceDE/>
        <w:autoSpaceDN/>
        <w:adjustRightInd/>
        <w:spacing w:after="200"/>
        <w:ind w:left="180"/>
        <w:textAlignment w:val="auto"/>
        <w:rPr>
          <w:rFonts w:eastAsia="Calibri" w:cs="Arial"/>
          <w:sz w:val="22"/>
          <w:szCs w:val="22"/>
          <w:lang w:val="en-GB"/>
        </w:rPr>
      </w:pPr>
    </w:p>
    <w:p w:rsidR="003509B1" w:rsidRPr="00E81803" w:rsidRDefault="003509B1" w:rsidP="00A61629">
      <w:pPr>
        <w:overflowPunct/>
        <w:autoSpaceDE/>
        <w:autoSpaceDN/>
        <w:adjustRightInd/>
        <w:spacing w:after="200" w:line="276" w:lineRule="auto"/>
        <w:ind w:left="181"/>
        <w:jc w:val="both"/>
        <w:textAlignment w:val="auto"/>
        <w:rPr>
          <w:rFonts w:eastAsia="Calibri" w:cs="Arial"/>
          <w:sz w:val="22"/>
          <w:szCs w:val="22"/>
        </w:rPr>
      </w:pPr>
      <w:r w:rsidRPr="00E81803">
        <w:rPr>
          <w:rFonts w:eastAsia="Calibri" w:cs="Arial"/>
          <w:sz w:val="22"/>
          <w:szCs w:val="22"/>
        </w:rPr>
        <w:t xml:space="preserve">Traditionally statutory services have provided the majority of public health services. </w:t>
      </w:r>
      <w:r w:rsidR="000E54FA">
        <w:rPr>
          <w:rFonts w:eastAsia="Calibri" w:cs="Arial"/>
          <w:sz w:val="22"/>
          <w:szCs w:val="22"/>
        </w:rPr>
        <w:t xml:space="preserve">In the past, </w:t>
      </w:r>
      <w:r w:rsidRPr="00E81803">
        <w:rPr>
          <w:rFonts w:eastAsia="Calibri" w:cs="Arial"/>
          <w:sz w:val="22"/>
          <w:szCs w:val="22"/>
        </w:rPr>
        <w:t xml:space="preserve">the </w:t>
      </w:r>
      <w:r w:rsidR="000E54FA">
        <w:rPr>
          <w:rFonts w:eastAsia="Calibri" w:cs="Arial"/>
          <w:sz w:val="22"/>
          <w:szCs w:val="22"/>
        </w:rPr>
        <w:t>P</w:t>
      </w:r>
      <w:r w:rsidRPr="00E81803">
        <w:rPr>
          <w:rFonts w:eastAsia="Calibri" w:cs="Arial"/>
          <w:sz w:val="22"/>
          <w:szCs w:val="22"/>
        </w:rPr>
        <w:t xml:space="preserve">ublic </w:t>
      </w:r>
      <w:r w:rsidR="000E54FA">
        <w:rPr>
          <w:rFonts w:eastAsia="Calibri" w:cs="Arial"/>
          <w:sz w:val="22"/>
          <w:szCs w:val="22"/>
        </w:rPr>
        <w:t>H</w:t>
      </w:r>
      <w:r w:rsidRPr="00E81803">
        <w:rPr>
          <w:rFonts w:eastAsia="Calibri" w:cs="Arial"/>
          <w:sz w:val="22"/>
          <w:szCs w:val="22"/>
        </w:rPr>
        <w:t xml:space="preserve">ealth </w:t>
      </w:r>
      <w:r w:rsidR="00340162">
        <w:rPr>
          <w:rFonts w:eastAsia="Calibri" w:cs="Arial"/>
          <w:sz w:val="22"/>
          <w:szCs w:val="22"/>
        </w:rPr>
        <w:t>t</w:t>
      </w:r>
      <w:r w:rsidR="000E54FA">
        <w:rPr>
          <w:rFonts w:eastAsia="Calibri" w:cs="Arial"/>
          <w:sz w:val="22"/>
          <w:szCs w:val="22"/>
        </w:rPr>
        <w:t>eam</w:t>
      </w:r>
      <w:r w:rsidRPr="00E81803">
        <w:rPr>
          <w:rFonts w:eastAsia="Calibri" w:cs="Arial"/>
          <w:sz w:val="22"/>
          <w:szCs w:val="22"/>
        </w:rPr>
        <w:t xml:space="preserve"> held ‘soft marketing’ day</w:t>
      </w:r>
      <w:r w:rsidR="000E54FA">
        <w:rPr>
          <w:rFonts w:eastAsia="Calibri" w:cs="Arial"/>
          <w:sz w:val="22"/>
          <w:szCs w:val="22"/>
        </w:rPr>
        <w:t>s</w:t>
      </w:r>
      <w:r w:rsidRPr="00E81803">
        <w:rPr>
          <w:rFonts w:eastAsia="Calibri" w:cs="Arial"/>
          <w:sz w:val="22"/>
          <w:szCs w:val="22"/>
        </w:rPr>
        <w:t xml:space="preserve"> to raise awareness of the possibility for other providers to deliver public health services. The </w:t>
      </w:r>
      <w:r w:rsidR="00340162">
        <w:rPr>
          <w:rFonts w:eastAsia="Calibri" w:cs="Arial"/>
          <w:sz w:val="22"/>
          <w:szCs w:val="22"/>
        </w:rPr>
        <w:t>t</w:t>
      </w:r>
      <w:r w:rsidR="000E54FA">
        <w:rPr>
          <w:rFonts w:eastAsia="Calibri" w:cs="Arial"/>
          <w:sz w:val="22"/>
          <w:szCs w:val="22"/>
        </w:rPr>
        <w:t>eam</w:t>
      </w:r>
      <w:r w:rsidR="000E54FA" w:rsidRPr="00E81803">
        <w:rPr>
          <w:rFonts w:eastAsia="Calibri" w:cs="Arial"/>
          <w:sz w:val="22"/>
          <w:szCs w:val="22"/>
        </w:rPr>
        <w:t xml:space="preserve"> </w:t>
      </w:r>
      <w:r w:rsidRPr="00E81803">
        <w:rPr>
          <w:rFonts w:eastAsia="Calibri" w:cs="Arial"/>
          <w:sz w:val="22"/>
          <w:szCs w:val="22"/>
        </w:rPr>
        <w:t>intends to hold further development days with providers.</w:t>
      </w:r>
      <w:r>
        <w:rPr>
          <w:rFonts w:eastAsia="Calibri" w:cs="Arial"/>
          <w:sz w:val="22"/>
          <w:szCs w:val="22"/>
        </w:rPr>
        <w:t xml:space="preserve"> The information in this strategy will also inform a Market Position Statement.</w:t>
      </w:r>
    </w:p>
    <w:p w:rsidR="003509B1" w:rsidRPr="00BD0CFD" w:rsidRDefault="003509B1" w:rsidP="00A61629">
      <w:pPr>
        <w:overflowPunct/>
        <w:autoSpaceDE/>
        <w:autoSpaceDN/>
        <w:adjustRightInd/>
        <w:spacing w:after="200" w:line="276" w:lineRule="auto"/>
        <w:ind w:left="181"/>
        <w:jc w:val="both"/>
        <w:textAlignment w:val="auto"/>
        <w:rPr>
          <w:rFonts w:eastAsia="Calibri" w:cs="Arial"/>
          <w:sz w:val="22"/>
          <w:szCs w:val="22"/>
        </w:rPr>
      </w:pPr>
      <w:r w:rsidRPr="00E81803">
        <w:rPr>
          <w:rFonts w:eastAsia="Calibri" w:cs="Arial"/>
          <w:sz w:val="22"/>
          <w:szCs w:val="22"/>
        </w:rPr>
        <w:t>Public Health fully supports the community innovation fund that is designed to develop providers</w:t>
      </w:r>
      <w:r>
        <w:rPr>
          <w:rFonts w:eastAsia="Calibri" w:cs="Arial"/>
          <w:sz w:val="22"/>
          <w:szCs w:val="22"/>
        </w:rPr>
        <w:t xml:space="preserve"> including the third sector</w:t>
      </w:r>
      <w:r w:rsidRPr="00E81803">
        <w:rPr>
          <w:rFonts w:eastAsia="Calibri" w:cs="Arial"/>
          <w:sz w:val="22"/>
          <w:szCs w:val="22"/>
        </w:rPr>
        <w:t>.</w:t>
      </w:r>
    </w:p>
    <w:p w:rsidR="003509B1" w:rsidRDefault="00341D2C" w:rsidP="001D4F05">
      <w:pPr>
        <w:pStyle w:val="Heading2"/>
      </w:pPr>
      <w:bookmarkStart w:id="14" w:name="_Toc483994452"/>
      <w:r>
        <w:t>2.9</w:t>
      </w:r>
      <w:r>
        <w:tab/>
      </w:r>
      <w:r w:rsidR="003509B1">
        <w:t>Principle 10: Corporate Social Responsibility</w:t>
      </w:r>
      <w:bookmarkEnd w:id="14"/>
    </w:p>
    <w:p w:rsidR="003509B1" w:rsidRDefault="003509B1" w:rsidP="001D4F05">
      <w:pPr>
        <w:rPr>
          <w:lang w:val="en-GB"/>
        </w:rPr>
      </w:pPr>
    </w:p>
    <w:p w:rsidR="003509B1" w:rsidRPr="00A14F8A" w:rsidRDefault="003509B1" w:rsidP="00A61629">
      <w:pPr>
        <w:ind w:firstLine="142"/>
        <w:rPr>
          <w:bCs/>
          <w:sz w:val="22"/>
          <w:szCs w:val="22"/>
          <w:lang w:val="en-GB"/>
        </w:rPr>
      </w:pPr>
      <w:r w:rsidRPr="00A14F8A">
        <w:rPr>
          <w:bCs/>
          <w:sz w:val="22"/>
          <w:szCs w:val="22"/>
          <w:lang w:val="en-GB"/>
        </w:rPr>
        <w:t>(</w:t>
      </w:r>
      <w:r w:rsidR="00FC5D91" w:rsidRPr="00A14F8A">
        <w:rPr>
          <w:bCs/>
          <w:sz w:val="22"/>
          <w:szCs w:val="22"/>
          <w:lang w:val="en-GB"/>
        </w:rPr>
        <w:t>Included</w:t>
      </w:r>
      <w:r w:rsidRPr="00A14F8A">
        <w:rPr>
          <w:bCs/>
          <w:sz w:val="22"/>
          <w:szCs w:val="22"/>
          <w:lang w:val="en-GB"/>
        </w:rPr>
        <w:t xml:space="preserve"> in other principles)</w:t>
      </w:r>
    </w:p>
    <w:p w:rsidR="003509B1" w:rsidRDefault="003509B1" w:rsidP="001D4F05">
      <w:pPr>
        <w:overflowPunct/>
        <w:autoSpaceDE/>
        <w:autoSpaceDN/>
        <w:adjustRightInd/>
        <w:spacing w:after="200"/>
        <w:ind w:left="180"/>
        <w:textAlignment w:val="auto"/>
        <w:rPr>
          <w:rFonts w:eastAsia="Calibri" w:cs="Arial"/>
          <w:sz w:val="22"/>
          <w:szCs w:val="22"/>
          <w:lang w:val="en-GB"/>
        </w:rPr>
      </w:pPr>
    </w:p>
    <w:p w:rsidR="00E81803" w:rsidRDefault="00341D2C" w:rsidP="001D4F05">
      <w:pPr>
        <w:pStyle w:val="Heading2"/>
      </w:pPr>
      <w:bookmarkStart w:id="15" w:name="_Toc483994453"/>
      <w:r>
        <w:t>2.10</w:t>
      </w:r>
      <w:r>
        <w:tab/>
      </w:r>
      <w:r w:rsidR="00E81803">
        <w:t xml:space="preserve">Principle </w:t>
      </w:r>
      <w:r w:rsidR="003509B1">
        <w:t>11</w:t>
      </w:r>
      <w:r w:rsidR="00E81803">
        <w:t>: Equalities</w:t>
      </w:r>
      <w:bookmarkEnd w:id="15"/>
    </w:p>
    <w:p w:rsidR="00E81803" w:rsidRDefault="00E81803" w:rsidP="001D4F05">
      <w:pPr>
        <w:overflowPunct/>
        <w:autoSpaceDE/>
        <w:autoSpaceDN/>
        <w:adjustRightInd/>
        <w:spacing w:after="200"/>
        <w:ind w:left="180"/>
        <w:textAlignment w:val="auto"/>
        <w:rPr>
          <w:rFonts w:eastAsia="Calibri" w:cs="Arial"/>
          <w:sz w:val="22"/>
          <w:szCs w:val="22"/>
          <w:lang w:val="en-GB"/>
        </w:rPr>
      </w:pPr>
    </w:p>
    <w:p w:rsidR="0056534F" w:rsidRDefault="0056534F" w:rsidP="00A61629">
      <w:pPr>
        <w:overflowPunct/>
        <w:autoSpaceDE/>
        <w:autoSpaceDN/>
        <w:adjustRightInd/>
        <w:spacing w:after="200" w:line="276" w:lineRule="auto"/>
        <w:ind w:left="181"/>
        <w:jc w:val="both"/>
        <w:textAlignment w:val="auto"/>
        <w:rPr>
          <w:rFonts w:eastAsia="Calibri" w:cs="Arial"/>
          <w:sz w:val="22"/>
          <w:szCs w:val="22"/>
          <w:lang w:val="en-GB"/>
        </w:rPr>
      </w:pPr>
      <w:r>
        <w:rPr>
          <w:rFonts w:eastAsia="Calibri" w:cs="Arial"/>
          <w:sz w:val="22"/>
          <w:szCs w:val="22"/>
          <w:lang w:val="en-GB"/>
        </w:rPr>
        <w:t xml:space="preserve">This public health commissioning strategy is one way that the Council can evidence how it </w:t>
      </w:r>
      <w:r w:rsidRPr="0056534F">
        <w:rPr>
          <w:rFonts w:eastAsia="Calibri" w:cs="Arial"/>
          <w:sz w:val="22"/>
          <w:szCs w:val="22"/>
          <w:lang w:val="en-GB"/>
        </w:rPr>
        <w:t>discharge</w:t>
      </w:r>
      <w:r>
        <w:rPr>
          <w:rFonts w:eastAsia="Calibri" w:cs="Arial"/>
          <w:sz w:val="22"/>
          <w:szCs w:val="22"/>
          <w:lang w:val="en-GB"/>
        </w:rPr>
        <w:t>s</w:t>
      </w:r>
      <w:r w:rsidRPr="0056534F">
        <w:rPr>
          <w:rFonts w:eastAsia="Calibri" w:cs="Arial"/>
          <w:sz w:val="22"/>
          <w:szCs w:val="22"/>
          <w:lang w:val="en-GB"/>
        </w:rPr>
        <w:t xml:space="preserve"> its Public Sector Equality Duty</w:t>
      </w:r>
      <w:r w:rsidR="00016EE7">
        <w:rPr>
          <w:rFonts w:eastAsia="Calibri" w:cs="Arial"/>
          <w:sz w:val="22"/>
          <w:szCs w:val="22"/>
          <w:lang w:val="en-GB"/>
        </w:rPr>
        <w:t xml:space="preserve"> (PSED)</w:t>
      </w:r>
      <w:r w:rsidRPr="0056534F">
        <w:rPr>
          <w:rFonts w:eastAsia="Calibri" w:cs="Arial"/>
          <w:sz w:val="22"/>
          <w:szCs w:val="22"/>
          <w:lang w:val="en-GB"/>
        </w:rPr>
        <w:t>. Public health services have traditionally been targeted at the most disadvantaged groups and communities but in recent years these services may have become less focussed. For each area of public health commissioned activity the 2011 census data will be used to highlight the changes in demography and will be compared against the data captured by the providers in terms of those accessing the services.</w:t>
      </w:r>
    </w:p>
    <w:p w:rsidR="00FC5D91" w:rsidRPr="0056534F" w:rsidRDefault="00FC5D91" w:rsidP="00A61629">
      <w:pPr>
        <w:overflowPunct/>
        <w:autoSpaceDE/>
        <w:autoSpaceDN/>
        <w:adjustRightInd/>
        <w:spacing w:after="200" w:line="276" w:lineRule="auto"/>
        <w:ind w:left="181"/>
        <w:jc w:val="both"/>
        <w:textAlignment w:val="auto"/>
        <w:rPr>
          <w:rFonts w:eastAsia="Calibri" w:cs="Arial"/>
          <w:sz w:val="22"/>
          <w:szCs w:val="22"/>
          <w:lang w:val="en-GB"/>
        </w:rPr>
      </w:pPr>
      <w:r>
        <w:rPr>
          <w:rFonts w:eastAsia="Calibri" w:cs="Arial"/>
          <w:sz w:val="22"/>
          <w:szCs w:val="22"/>
          <w:lang w:val="en-GB"/>
        </w:rPr>
        <w:t>The principle of tailoring services according to the needs of the population will be used in delivering public health services. This is also called proportionate universalism.</w:t>
      </w:r>
    </w:p>
    <w:p w:rsidR="0056534F" w:rsidRPr="0056534F" w:rsidRDefault="0056534F" w:rsidP="00A61629">
      <w:pPr>
        <w:overflowPunct/>
        <w:autoSpaceDE/>
        <w:autoSpaceDN/>
        <w:adjustRightInd/>
        <w:spacing w:after="200" w:line="276" w:lineRule="auto"/>
        <w:ind w:left="181"/>
        <w:jc w:val="both"/>
        <w:textAlignment w:val="auto"/>
        <w:rPr>
          <w:rFonts w:eastAsia="Calibri" w:cs="Arial"/>
          <w:sz w:val="22"/>
          <w:szCs w:val="22"/>
          <w:lang w:val="en-GB"/>
        </w:rPr>
      </w:pPr>
      <w:r w:rsidRPr="0056534F">
        <w:rPr>
          <w:rFonts w:eastAsia="Calibri" w:cs="Arial"/>
          <w:sz w:val="22"/>
          <w:szCs w:val="22"/>
          <w:lang w:val="en-GB"/>
        </w:rPr>
        <w:t xml:space="preserve">Where </w:t>
      </w:r>
      <w:r>
        <w:rPr>
          <w:rFonts w:eastAsia="Calibri" w:cs="Arial"/>
          <w:sz w:val="22"/>
          <w:szCs w:val="22"/>
          <w:lang w:val="en-GB"/>
        </w:rPr>
        <w:t xml:space="preserve">existing </w:t>
      </w:r>
      <w:r w:rsidRPr="0056534F">
        <w:rPr>
          <w:rFonts w:eastAsia="Calibri" w:cs="Arial"/>
          <w:sz w:val="22"/>
          <w:szCs w:val="22"/>
          <w:lang w:val="en-GB"/>
        </w:rPr>
        <w:t>providers do not capture the relevant data this will be addressed in future years either as in</w:t>
      </w:r>
      <w:r w:rsidR="002C240A">
        <w:rPr>
          <w:rFonts w:eastAsia="Calibri" w:cs="Arial"/>
          <w:sz w:val="22"/>
          <w:szCs w:val="22"/>
          <w:lang w:val="en-GB"/>
        </w:rPr>
        <w:t>-</w:t>
      </w:r>
      <w:r w:rsidRPr="0056534F">
        <w:rPr>
          <w:rFonts w:eastAsia="Calibri" w:cs="Arial"/>
          <w:sz w:val="22"/>
          <w:szCs w:val="22"/>
          <w:lang w:val="en-GB"/>
        </w:rPr>
        <w:t>year contract variations or as part of a future procurement. Service user feedback and/or consultations will be used to fill major gaps in knowledge alongside reviews of the public health literature.</w:t>
      </w:r>
    </w:p>
    <w:p w:rsidR="0056534F" w:rsidRPr="0056534F" w:rsidRDefault="0056534F" w:rsidP="00A61629">
      <w:pPr>
        <w:overflowPunct/>
        <w:autoSpaceDE/>
        <w:autoSpaceDN/>
        <w:adjustRightInd/>
        <w:spacing w:after="200" w:line="276" w:lineRule="auto"/>
        <w:ind w:left="181"/>
        <w:jc w:val="both"/>
        <w:textAlignment w:val="auto"/>
        <w:rPr>
          <w:rFonts w:eastAsia="Calibri" w:cs="Arial"/>
          <w:sz w:val="22"/>
          <w:szCs w:val="22"/>
          <w:lang w:val="en-GB"/>
        </w:rPr>
      </w:pPr>
      <w:r w:rsidRPr="0056534F">
        <w:rPr>
          <w:rFonts w:eastAsia="Calibri" w:cs="Arial"/>
          <w:sz w:val="22"/>
          <w:szCs w:val="22"/>
          <w:lang w:val="en-GB"/>
        </w:rPr>
        <w:t>In general</w:t>
      </w:r>
      <w:r w:rsidR="002C240A">
        <w:rPr>
          <w:rFonts w:eastAsia="Calibri" w:cs="Arial"/>
          <w:sz w:val="22"/>
          <w:szCs w:val="22"/>
          <w:lang w:val="en-GB"/>
        </w:rPr>
        <w:t>,</w:t>
      </w:r>
      <w:r w:rsidRPr="0056534F">
        <w:rPr>
          <w:rFonts w:eastAsia="Calibri" w:cs="Arial"/>
          <w:sz w:val="22"/>
          <w:szCs w:val="22"/>
          <w:lang w:val="en-GB"/>
        </w:rPr>
        <w:t xml:space="preserve"> the approach to empower individuals, families and communities to look after their own health </w:t>
      </w:r>
      <w:r w:rsidR="002C240A">
        <w:rPr>
          <w:rFonts w:eastAsia="Calibri" w:cs="Arial"/>
          <w:sz w:val="22"/>
          <w:szCs w:val="22"/>
          <w:lang w:val="en-GB"/>
        </w:rPr>
        <w:t xml:space="preserve">(self-management) </w:t>
      </w:r>
      <w:r w:rsidRPr="0056534F">
        <w:rPr>
          <w:rFonts w:eastAsia="Calibri" w:cs="Arial"/>
          <w:sz w:val="22"/>
          <w:szCs w:val="22"/>
          <w:lang w:val="en-GB"/>
        </w:rPr>
        <w:t>should contribute to increasing equality. This is supplemented by more robust equity profiling by providers.</w:t>
      </w:r>
    </w:p>
    <w:p w:rsidR="0056534F" w:rsidRPr="00A82725" w:rsidRDefault="0056534F" w:rsidP="00A61629">
      <w:pPr>
        <w:overflowPunct/>
        <w:autoSpaceDE/>
        <w:autoSpaceDN/>
        <w:adjustRightInd/>
        <w:spacing w:after="200" w:line="276" w:lineRule="auto"/>
        <w:ind w:left="181"/>
        <w:jc w:val="both"/>
        <w:textAlignment w:val="auto"/>
        <w:rPr>
          <w:rFonts w:eastAsia="Calibri" w:cs="Arial"/>
          <w:sz w:val="22"/>
          <w:szCs w:val="22"/>
          <w:lang w:val="en-GB"/>
        </w:rPr>
      </w:pPr>
      <w:r w:rsidRPr="0056534F">
        <w:rPr>
          <w:rFonts w:eastAsia="Calibri" w:cs="Arial"/>
          <w:sz w:val="22"/>
          <w:szCs w:val="22"/>
          <w:lang w:val="en-GB"/>
        </w:rPr>
        <w:t>One major challenge for the discharge of the PSED is the lack of detailed local knowledge of the knowledge, attitudes and beliefs of people from all protected groups for all health conditions. To address this</w:t>
      </w:r>
      <w:r w:rsidR="00723418">
        <w:rPr>
          <w:rFonts w:eastAsia="Calibri" w:cs="Arial"/>
          <w:sz w:val="22"/>
          <w:szCs w:val="22"/>
          <w:lang w:val="en-GB"/>
        </w:rPr>
        <w:t>,</w:t>
      </w:r>
      <w:r w:rsidRPr="0056534F">
        <w:rPr>
          <w:rFonts w:eastAsia="Calibri" w:cs="Arial"/>
          <w:sz w:val="22"/>
          <w:szCs w:val="22"/>
          <w:lang w:val="en-GB"/>
        </w:rPr>
        <w:t xml:space="preserve"> a proportionate approach </w:t>
      </w:r>
      <w:r>
        <w:rPr>
          <w:rFonts w:eastAsia="Calibri" w:cs="Arial"/>
          <w:sz w:val="22"/>
          <w:szCs w:val="22"/>
          <w:lang w:val="en-GB"/>
        </w:rPr>
        <w:t xml:space="preserve">will be </w:t>
      </w:r>
      <w:r w:rsidRPr="0056534F">
        <w:rPr>
          <w:rFonts w:eastAsia="Calibri" w:cs="Arial"/>
          <w:sz w:val="22"/>
          <w:szCs w:val="22"/>
          <w:lang w:val="en-GB"/>
        </w:rPr>
        <w:t>adopted and supplemented with national research evidence.</w:t>
      </w:r>
      <w:r w:rsidR="00E44DAF">
        <w:rPr>
          <w:rFonts w:eastAsia="Calibri" w:cs="Arial"/>
          <w:sz w:val="22"/>
          <w:szCs w:val="22"/>
          <w:lang w:val="en-GB"/>
        </w:rPr>
        <w:t xml:space="preserve"> A ‘Due Regard’ Statement is </w:t>
      </w:r>
      <w:r w:rsidR="000B0F4B">
        <w:rPr>
          <w:rFonts w:eastAsia="Calibri" w:cs="Arial"/>
          <w:sz w:val="22"/>
          <w:szCs w:val="22"/>
          <w:lang w:val="en-GB"/>
        </w:rPr>
        <w:t xml:space="preserve">separately </w:t>
      </w:r>
      <w:r w:rsidR="002C240A">
        <w:rPr>
          <w:rFonts w:eastAsia="Calibri" w:cs="Arial"/>
          <w:sz w:val="22"/>
          <w:szCs w:val="22"/>
          <w:lang w:val="en-GB"/>
        </w:rPr>
        <w:t>completed</w:t>
      </w:r>
      <w:r w:rsidR="00E44DAF">
        <w:rPr>
          <w:rFonts w:eastAsia="Calibri" w:cs="Arial"/>
          <w:sz w:val="22"/>
          <w:szCs w:val="22"/>
          <w:lang w:val="en-GB"/>
        </w:rPr>
        <w:t>.</w:t>
      </w:r>
      <w:r w:rsidRPr="0056534F">
        <w:rPr>
          <w:rFonts w:eastAsia="Calibri" w:cs="Arial"/>
          <w:sz w:val="22"/>
          <w:szCs w:val="22"/>
          <w:lang w:val="en-GB"/>
        </w:rPr>
        <w:t xml:space="preserve">   </w:t>
      </w:r>
    </w:p>
    <w:p w:rsidR="00E918C4" w:rsidRPr="00E918C4" w:rsidRDefault="00DF5971" w:rsidP="007479C3">
      <w:pPr>
        <w:pStyle w:val="Heading1"/>
        <w:numPr>
          <w:ilvl w:val="0"/>
          <w:numId w:val="2"/>
        </w:numPr>
      </w:pPr>
      <w:bookmarkStart w:id="16" w:name="_Toc483994454"/>
      <w:r>
        <w:rPr>
          <w:lang w:val="en-GB"/>
        </w:rPr>
        <w:t>Communication and Engagement</w:t>
      </w:r>
      <w:bookmarkEnd w:id="16"/>
      <w:r>
        <w:rPr>
          <w:lang w:val="en-GB"/>
        </w:rPr>
        <w:t xml:space="preserve"> </w:t>
      </w:r>
    </w:p>
    <w:p w:rsidR="00E918C4" w:rsidRDefault="00E918C4" w:rsidP="00E918C4">
      <w:pPr>
        <w:pStyle w:val="Heading1"/>
        <w:ind w:left="720"/>
        <w:rPr>
          <w:rFonts w:cs="Arial"/>
          <w:b w:val="0"/>
          <w:bCs w:val="0"/>
          <w:color w:val="C00000"/>
          <w:lang w:val="en-GB"/>
        </w:rPr>
      </w:pPr>
    </w:p>
    <w:p w:rsidR="00E81803" w:rsidRDefault="00341D2C" w:rsidP="00DF5971">
      <w:pPr>
        <w:pStyle w:val="Heading2"/>
      </w:pPr>
      <w:bookmarkStart w:id="17" w:name="_Toc483994455"/>
      <w:r>
        <w:t>3.1</w:t>
      </w:r>
      <w:r>
        <w:tab/>
      </w:r>
      <w:r w:rsidR="00DF5971" w:rsidRPr="00DF5971">
        <w:t>Who are our Customers?</w:t>
      </w:r>
      <w:bookmarkEnd w:id="17"/>
    </w:p>
    <w:p w:rsidR="006D7CAE" w:rsidRDefault="00F216E9" w:rsidP="00A61629">
      <w:pPr>
        <w:spacing w:after="200" w:line="276" w:lineRule="auto"/>
        <w:ind w:left="142"/>
        <w:rPr>
          <w:rFonts w:cs="Arial"/>
          <w:bCs/>
          <w:sz w:val="22"/>
          <w:szCs w:val="22"/>
          <w:lang w:val="en-GB"/>
        </w:rPr>
      </w:pPr>
      <w:r>
        <w:rPr>
          <w:lang w:val="en-GB"/>
        </w:rPr>
        <w:br/>
      </w:r>
      <w:r w:rsidR="00E918C4" w:rsidRPr="00E918C4">
        <w:rPr>
          <w:rFonts w:cs="Arial"/>
          <w:bCs/>
          <w:sz w:val="22"/>
          <w:szCs w:val="22"/>
          <w:lang w:val="en-GB"/>
        </w:rPr>
        <w:t xml:space="preserve">The </w:t>
      </w:r>
      <w:r w:rsidR="00E918C4">
        <w:rPr>
          <w:rFonts w:cs="Arial"/>
          <w:bCs/>
          <w:sz w:val="22"/>
          <w:szCs w:val="22"/>
          <w:lang w:val="en-GB"/>
        </w:rPr>
        <w:t xml:space="preserve">Public Health </w:t>
      </w:r>
      <w:r w:rsidR="00340162">
        <w:rPr>
          <w:rFonts w:cs="Arial"/>
          <w:bCs/>
          <w:sz w:val="22"/>
          <w:szCs w:val="22"/>
          <w:lang w:val="en-GB"/>
        </w:rPr>
        <w:t>t</w:t>
      </w:r>
      <w:r w:rsidR="00016EE7">
        <w:rPr>
          <w:rFonts w:cs="Arial"/>
          <w:bCs/>
          <w:sz w:val="22"/>
          <w:szCs w:val="22"/>
          <w:lang w:val="en-GB"/>
        </w:rPr>
        <w:t xml:space="preserve">eam undertakes regular </w:t>
      </w:r>
      <w:r w:rsidR="00E918C4">
        <w:rPr>
          <w:rFonts w:cs="Arial"/>
          <w:bCs/>
          <w:sz w:val="22"/>
          <w:szCs w:val="22"/>
          <w:lang w:val="en-GB"/>
        </w:rPr>
        <w:t>stakeholder analys</w:t>
      </w:r>
      <w:r w:rsidR="00016EE7">
        <w:rPr>
          <w:rFonts w:cs="Arial"/>
          <w:bCs/>
          <w:sz w:val="22"/>
          <w:szCs w:val="22"/>
          <w:lang w:val="en-GB"/>
        </w:rPr>
        <w:t>e</w:t>
      </w:r>
      <w:r w:rsidR="00E918C4">
        <w:rPr>
          <w:rFonts w:cs="Arial"/>
          <w:bCs/>
          <w:sz w:val="22"/>
          <w:szCs w:val="22"/>
          <w:lang w:val="en-GB"/>
        </w:rPr>
        <w:t xml:space="preserve">s </w:t>
      </w:r>
      <w:r w:rsidR="00016EE7">
        <w:rPr>
          <w:rFonts w:cs="Arial"/>
          <w:bCs/>
          <w:sz w:val="22"/>
          <w:szCs w:val="22"/>
          <w:lang w:val="en-GB"/>
        </w:rPr>
        <w:t>as part of service reviews, and Joint Strategic Needs Assessment.  Stakeholders</w:t>
      </w:r>
      <w:r w:rsidR="00F974F5">
        <w:rPr>
          <w:rFonts w:cs="Arial"/>
          <w:bCs/>
          <w:sz w:val="22"/>
          <w:szCs w:val="22"/>
          <w:lang w:val="en-GB"/>
        </w:rPr>
        <w:t>’</w:t>
      </w:r>
      <w:r w:rsidR="00016EE7">
        <w:rPr>
          <w:rFonts w:cs="Arial"/>
          <w:bCs/>
          <w:sz w:val="22"/>
          <w:szCs w:val="22"/>
          <w:lang w:val="en-GB"/>
        </w:rPr>
        <w:t xml:space="preserve"> analyses will be an integral </w:t>
      </w:r>
      <w:r w:rsidR="00016EE7">
        <w:rPr>
          <w:rFonts w:cs="Arial"/>
          <w:bCs/>
          <w:sz w:val="22"/>
          <w:szCs w:val="22"/>
          <w:lang w:val="en-GB"/>
        </w:rPr>
        <w:lastRenderedPageBreak/>
        <w:t>part of the proposed public health service.</w:t>
      </w:r>
      <w:r>
        <w:rPr>
          <w:rFonts w:cs="Arial"/>
          <w:bCs/>
          <w:sz w:val="22"/>
          <w:szCs w:val="22"/>
          <w:lang w:val="en-GB"/>
        </w:rPr>
        <w:br/>
      </w:r>
      <w:r>
        <w:rPr>
          <w:rFonts w:cs="Arial"/>
          <w:bCs/>
          <w:sz w:val="22"/>
          <w:szCs w:val="22"/>
          <w:lang w:val="en-GB"/>
        </w:rPr>
        <w:br/>
      </w:r>
      <w:r w:rsidR="00732DDD" w:rsidRPr="00DF5971">
        <w:rPr>
          <w:rFonts w:cs="Arial"/>
          <w:b/>
          <w:bCs/>
          <w:sz w:val="22"/>
          <w:szCs w:val="22"/>
          <w:lang w:val="en-GB"/>
        </w:rPr>
        <w:t>External</w:t>
      </w:r>
      <w:r w:rsidR="00E918C4" w:rsidRPr="00DF5971">
        <w:rPr>
          <w:rFonts w:cs="Arial"/>
          <w:b/>
          <w:bCs/>
          <w:sz w:val="22"/>
          <w:szCs w:val="22"/>
          <w:lang w:val="en-GB"/>
        </w:rPr>
        <w:t xml:space="preserve"> Customers</w:t>
      </w:r>
      <w:r>
        <w:rPr>
          <w:rFonts w:cs="Arial"/>
          <w:b/>
          <w:bCs/>
          <w:sz w:val="22"/>
          <w:szCs w:val="22"/>
          <w:lang w:val="en-GB"/>
        </w:rPr>
        <w:br/>
      </w:r>
      <w:r>
        <w:rPr>
          <w:rFonts w:cs="Arial"/>
          <w:b/>
          <w:bCs/>
          <w:sz w:val="22"/>
          <w:szCs w:val="22"/>
          <w:lang w:val="en-GB"/>
        </w:rPr>
        <w:br/>
      </w:r>
      <w:r w:rsidR="00E918C4">
        <w:rPr>
          <w:rFonts w:cs="Arial"/>
          <w:bCs/>
          <w:sz w:val="22"/>
          <w:szCs w:val="22"/>
          <w:lang w:val="en-GB"/>
        </w:rPr>
        <w:t xml:space="preserve">Doncaster </w:t>
      </w:r>
      <w:r w:rsidR="00DF5971">
        <w:rPr>
          <w:rFonts w:cs="Arial"/>
          <w:bCs/>
          <w:sz w:val="22"/>
          <w:szCs w:val="22"/>
          <w:lang w:val="en-GB"/>
        </w:rPr>
        <w:t>residents and those in receipt of commissioned services</w:t>
      </w:r>
      <w:r w:rsidR="00E918C4">
        <w:rPr>
          <w:rFonts w:cs="Arial"/>
          <w:bCs/>
          <w:sz w:val="22"/>
          <w:szCs w:val="22"/>
          <w:lang w:val="en-GB"/>
        </w:rPr>
        <w:br/>
        <w:t>Doncaster Communities (geographic and communities of interest)</w:t>
      </w:r>
      <w:r w:rsidR="00E918C4">
        <w:rPr>
          <w:rFonts w:cs="Arial"/>
          <w:bCs/>
          <w:sz w:val="22"/>
          <w:szCs w:val="22"/>
          <w:lang w:val="en-GB"/>
        </w:rPr>
        <w:br/>
        <w:t>Current providers of public health commissioned services</w:t>
      </w:r>
      <w:r w:rsidR="00E918C4">
        <w:rPr>
          <w:rFonts w:cs="Arial"/>
          <w:bCs/>
          <w:sz w:val="22"/>
          <w:szCs w:val="22"/>
          <w:lang w:val="en-GB"/>
        </w:rPr>
        <w:br/>
        <w:t>Health and Wellbeing Board and related partners</w:t>
      </w:r>
      <w:r w:rsidR="00E918C4">
        <w:rPr>
          <w:rFonts w:cs="Arial"/>
          <w:bCs/>
          <w:sz w:val="22"/>
          <w:szCs w:val="22"/>
          <w:lang w:val="en-GB"/>
        </w:rPr>
        <w:br/>
        <w:t xml:space="preserve">Potential </w:t>
      </w:r>
      <w:r w:rsidR="00732DDD">
        <w:rPr>
          <w:rFonts w:cs="Arial"/>
          <w:bCs/>
          <w:sz w:val="22"/>
          <w:szCs w:val="22"/>
          <w:lang w:val="en-GB"/>
        </w:rPr>
        <w:t>providers</w:t>
      </w:r>
      <w:r w:rsidR="00E918C4">
        <w:rPr>
          <w:rFonts w:cs="Arial"/>
          <w:bCs/>
          <w:sz w:val="22"/>
          <w:szCs w:val="22"/>
          <w:lang w:val="en-GB"/>
        </w:rPr>
        <w:t xml:space="preserve"> of public health commissioned services</w:t>
      </w:r>
      <w:r w:rsidR="00E918C4">
        <w:rPr>
          <w:rFonts w:cs="Arial"/>
          <w:bCs/>
          <w:sz w:val="22"/>
          <w:szCs w:val="22"/>
          <w:lang w:val="en-GB"/>
        </w:rPr>
        <w:br/>
        <w:t>Health</w:t>
      </w:r>
      <w:r w:rsidR="007049E1">
        <w:rPr>
          <w:rFonts w:cs="Arial"/>
          <w:bCs/>
          <w:sz w:val="22"/>
          <w:szCs w:val="22"/>
          <w:lang w:val="en-GB"/>
        </w:rPr>
        <w:t xml:space="preserve"> </w:t>
      </w:r>
      <w:r w:rsidR="00E535C8">
        <w:rPr>
          <w:rFonts w:cs="Arial"/>
          <w:bCs/>
          <w:sz w:val="22"/>
          <w:szCs w:val="22"/>
          <w:lang w:val="en-GB"/>
        </w:rPr>
        <w:t>W</w:t>
      </w:r>
      <w:r w:rsidR="00E918C4">
        <w:rPr>
          <w:rFonts w:cs="Arial"/>
          <w:bCs/>
          <w:sz w:val="22"/>
          <w:szCs w:val="22"/>
          <w:lang w:val="en-GB"/>
        </w:rPr>
        <w:t>atch Doncaster</w:t>
      </w:r>
      <w:r w:rsidR="00E918C4">
        <w:rPr>
          <w:rFonts w:cs="Arial"/>
          <w:bCs/>
          <w:sz w:val="22"/>
          <w:szCs w:val="22"/>
          <w:lang w:val="en-GB"/>
        </w:rPr>
        <w:br/>
      </w:r>
      <w:r w:rsidR="00732DDD">
        <w:rPr>
          <w:rFonts w:cs="Arial"/>
          <w:bCs/>
          <w:sz w:val="22"/>
          <w:szCs w:val="22"/>
          <w:lang w:val="en-GB"/>
        </w:rPr>
        <w:t xml:space="preserve">South Yorkshire </w:t>
      </w:r>
      <w:r w:rsidR="00E918C4">
        <w:rPr>
          <w:rFonts w:cs="Arial"/>
          <w:bCs/>
          <w:sz w:val="22"/>
          <w:szCs w:val="22"/>
          <w:lang w:val="en-GB"/>
        </w:rPr>
        <w:t>Polic</w:t>
      </w:r>
      <w:r w:rsidR="00732DDD">
        <w:rPr>
          <w:rFonts w:cs="Arial"/>
          <w:bCs/>
          <w:sz w:val="22"/>
          <w:szCs w:val="22"/>
          <w:lang w:val="en-GB"/>
        </w:rPr>
        <w:t>e</w:t>
      </w:r>
      <w:r w:rsidR="00E918C4">
        <w:rPr>
          <w:rFonts w:cs="Arial"/>
          <w:bCs/>
          <w:sz w:val="22"/>
          <w:szCs w:val="22"/>
          <w:lang w:val="en-GB"/>
        </w:rPr>
        <w:t xml:space="preserve"> and</w:t>
      </w:r>
      <w:r w:rsidR="00732DDD">
        <w:rPr>
          <w:rFonts w:cs="Arial"/>
          <w:bCs/>
          <w:sz w:val="22"/>
          <w:szCs w:val="22"/>
          <w:lang w:val="en-GB"/>
        </w:rPr>
        <w:t xml:space="preserve"> </w:t>
      </w:r>
      <w:r w:rsidR="00E918C4">
        <w:rPr>
          <w:rFonts w:cs="Arial"/>
          <w:bCs/>
          <w:sz w:val="22"/>
          <w:szCs w:val="22"/>
          <w:lang w:val="en-GB"/>
        </w:rPr>
        <w:t>Crime Commissioner</w:t>
      </w:r>
      <w:r w:rsidR="00E918C4">
        <w:rPr>
          <w:rFonts w:cs="Arial"/>
          <w:bCs/>
          <w:sz w:val="22"/>
          <w:szCs w:val="22"/>
          <w:lang w:val="en-GB"/>
        </w:rPr>
        <w:br/>
        <w:t>NHS Doncaster Clinical Commissioning Group</w:t>
      </w:r>
      <w:r w:rsidR="00E918C4">
        <w:rPr>
          <w:rFonts w:cs="Arial"/>
          <w:bCs/>
          <w:sz w:val="22"/>
          <w:szCs w:val="22"/>
          <w:lang w:val="en-GB"/>
        </w:rPr>
        <w:br/>
        <w:t>Public Health England</w:t>
      </w:r>
      <w:r w:rsidR="00E918C4">
        <w:rPr>
          <w:rFonts w:cs="Arial"/>
          <w:bCs/>
          <w:sz w:val="22"/>
          <w:szCs w:val="22"/>
          <w:lang w:val="en-GB"/>
        </w:rPr>
        <w:br/>
        <w:t>NHS England Area Team</w:t>
      </w:r>
      <w:r w:rsidR="00E918C4">
        <w:rPr>
          <w:rFonts w:cs="Arial"/>
          <w:bCs/>
          <w:sz w:val="22"/>
          <w:szCs w:val="22"/>
          <w:lang w:val="en-GB"/>
        </w:rPr>
        <w:br/>
      </w:r>
      <w:r>
        <w:rPr>
          <w:rFonts w:cs="Arial"/>
          <w:bCs/>
          <w:sz w:val="22"/>
          <w:szCs w:val="22"/>
          <w:lang w:val="en-GB"/>
        </w:rPr>
        <w:br/>
      </w:r>
      <w:r w:rsidR="00E918C4" w:rsidRPr="00DF5971">
        <w:rPr>
          <w:rFonts w:cs="Arial"/>
          <w:b/>
          <w:bCs/>
          <w:sz w:val="22"/>
          <w:szCs w:val="22"/>
          <w:lang w:val="en-GB"/>
        </w:rPr>
        <w:t>Internal Customers</w:t>
      </w:r>
      <w:r>
        <w:rPr>
          <w:rFonts w:cs="Arial"/>
          <w:b/>
          <w:bCs/>
          <w:sz w:val="22"/>
          <w:szCs w:val="22"/>
          <w:lang w:val="en-GB"/>
        </w:rPr>
        <w:br/>
      </w:r>
      <w:r>
        <w:rPr>
          <w:rFonts w:cs="Arial"/>
          <w:b/>
          <w:bCs/>
          <w:sz w:val="22"/>
          <w:szCs w:val="22"/>
          <w:lang w:val="en-GB"/>
        </w:rPr>
        <w:br/>
      </w:r>
      <w:r w:rsidR="00E918C4">
        <w:rPr>
          <w:rFonts w:cs="Arial"/>
          <w:bCs/>
          <w:sz w:val="22"/>
          <w:szCs w:val="22"/>
          <w:lang w:val="en-GB"/>
        </w:rPr>
        <w:t>Mayor, Cabinet</w:t>
      </w:r>
      <w:r w:rsidR="00732DDD">
        <w:rPr>
          <w:rFonts w:cs="Arial"/>
          <w:bCs/>
          <w:sz w:val="22"/>
          <w:szCs w:val="22"/>
          <w:lang w:val="en-GB"/>
        </w:rPr>
        <w:t>, relevant portfolio holders, e</w:t>
      </w:r>
      <w:r w:rsidR="00E918C4">
        <w:rPr>
          <w:rFonts w:cs="Arial"/>
          <w:bCs/>
          <w:sz w:val="22"/>
          <w:szCs w:val="22"/>
          <w:lang w:val="en-GB"/>
        </w:rPr>
        <w:t xml:space="preserve">lected </w:t>
      </w:r>
      <w:r w:rsidR="00732DDD">
        <w:rPr>
          <w:rFonts w:cs="Arial"/>
          <w:bCs/>
          <w:sz w:val="22"/>
          <w:szCs w:val="22"/>
          <w:lang w:val="en-GB"/>
        </w:rPr>
        <w:t xml:space="preserve">members, Full Council </w:t>
      </w:r>
      <w:r w:rsidR="00E918C4">
        <w:rPr>
          <w:rFonts w:cs="Arial"/>
          <w:bCs/>
          <w:sz w:val="22"/>
          <w:szCs w:val="22"/>
          <w:lang w:val="en-GB"/>
        </w:rPr>
        <w:t xml:space="preserve"> and </w:t>
      </w:r>
      <w:r w:rsidR="00732DDD">
        <w:rPr>
          <w:rFonts w:cs="Arial"/>
          <w:bCs/>
          <w:sz w:val="22"/>
          <w:szCs w:val="22"/>
          <w:lang w:val="en-GB"/>
        </w:rPr>
        <w:t>specific</w:t>
      </w:r>
      <w:r w:rsidR="00E918C4">
        <w:rPr>
          <w:rFonts w:cs="Arial"/>
          <w:bCs/>
          <w:sz w:val="22"/>
          <w:szCs w:val="22"/>
          <w:lang w:val="en-GB"/>
        </w:rPr>
        <w:t xml:space="preserve"> DMBC committees (e.g. </w:t>
      </w:r>
      <w:r w:rsidR="00016EE7">
        <w:rPr>
          <w:rFonts w:cs="Arial"/>
          <w:bCs/>
          <w:sz w:val="22"/>
          <w:szCs w:val="22"/>
          <w:lang w:val="en-GB"/>
        </w:rPr>
        <w:t>S</w:t>
      </w:r>
      <w:r w:rsidR="00E918C4">
        <w:rPr>
          <w:rFonts w:cs="Arial"/>
          <w:bCs/>
          <w:sz w:val="22"/>
          <w:szCs w:val="22"/>
          <w:lang w:val="en-GB"/>
        </w:rPr>
        <w:t>crutiny)</w:t>
      </w:r>
      <w:r w:rsidR="00E918C4">
        <w:rPr>
          <w:rFonts w:cs="Arial"/>
          <w:bCs/>
          <w:sz w:val="22"/>
          <w:szCs w:val="22"/>
          <w:lang w:val="en-GB"/>
        </w:rPr>
        <w:br/>
      </w:r>
      <w:r w:rsidR="00E918C4" w:rsidRPr="00E918C4">
        <w:rPr>
          <w:rFonts w:cs="Arial"/>
          <w:bCs/>
          <w:sz w:val="22"/>
          <w:szCs w:val="22"/>
          <w:lang w:val="en-GB"/>
        </w:rPr>
        <w:t xml:space="preserve">Public Health </w:t>
      </w:r>
      <w:r w:rsidR="00340162">
        <w:rPr>
          <w:rFonts w:cs="Arial"/>
          <w:bCs/>
          <w:sz w:val="22"/>
          <w:szCs w:val="22"/>
          <w:lang w:val="en-GB"/>
        </w:rPr>
        <w:t>t</w:t>
      </w:r>
      <w:r w:rsidR="00016EE7">
        <w:rPr>
          <w:rFonts w:cs="Arial"/>
          <w:bCs/>
          <w:sz w:val="22"/>
          <w:szCs w:val="22"/>
          <w:lang w:val="en-GB"/>
        </w:rPr>
        <w:t>eam</w:t>
      </w:r>
      <w:r w:rsidR="00E918C4">
        <w:rPr>
          <w:rFonts w:cs="Arial"/>
          <w:bCs/>
          <w:sz w:val="22"/>
          <w:szCs w:val="22"/>
          <w:lang w:val="en-GB"/>
        </w:rPr>
        <w:br/>
        <w:t xml:space="preserve">DMBC </w:t>
      </w:r>
      <w:r w:rsidR="00732DDD">
        <w:rPr>
          <w:rFonts w:cs="Arial"/>
          <w:bCs/>
          <w:sz w:val="22"/>
          <w:szCs w:val="22"/>
          <w:lang w:val="en-GB"/>
        </w:rPr>
        <w:t>Directorates</w:t>
      </w:r>
      <w:r>
        <w:rPr>
          <w:rFonts w:cs="Arial"/>
          <w:bCs/>
          <w:sz w:val="22"/>
          <w:szCs w:val="22"/>
          <w:lang w:val="en-GB"/>
        </w:rPr>
        <w:br/>
      </w:r>
      <w:r w:rsidR="000B7410" w:rsidRPr="005B765B">
        <w:rPr>
          <w:sz w:val="22"/>
        </w:rPr>
        <w:t xml:space="preserve">Communication </w:t>
      </w:r>
      <w:r w:rsidR="00DF5971" w:rsidRPr="005B765B">
        <w:rPr>
          <w:sz w:val="22"/>
        </w:rPr>
        <w:t>a</w:t>
      </w:r>
      <w:r w:rsidR="000B7410" w:rsidRPr="005B765B">
        <w:rPr>
          <w:sz w:val="22"/>
        </w:rPr>
        <w:t>nd Engagement</w:t>
      </w:r>
      <w:r w:rsidR="00DF5971" w:rsidRPr="005B765B">
        <w:rPr>
          <w:sz w:val="22"/>
        </w:rPr>
        <w:t xml:space="preserve"> plan</w:t>
      </w:r>
      <w:r>
        <w:br/>
      </w:r>
      <w:r>
        <w:br/>
      </w:r>
      <w:r w:rsidR="00DF5971" w:rsidRPr="00DF5971">
        <w:rPr>
          <w:rFonts w:cs="Arial"/>
          <w:b/>
          <w:bCs/>
          <w:sz w:val="22"/>
          <w:szCs w:val="22"/>
          <w:lang w:val="en-GB"/>
        </w:rPr>
        <w:t>Residents</w:t>
      </w:r>
      <w:r>
        <w:rPr>
          <w:rFonts w:cs="Arial"/>
          <w:b/>
          <w:bCs/>
          <w:sz w:val="22"/>
          <w:szCs w:val="22"/>
          <w:lang w:val="en-GB"/>
        </w:rPr>
        <w:br/>
      </w:r>
      <w:r>
        <w:rPr>
          <w:rFonts w:cs="Arial"/>
          <w:b/>
          <w:bCs/>
          <w:sz w:val="22"/>
          <w:szCs w:val="22"/>
          <w:lang w:val="en-GB"/>
        </w:rPr>
        <w:br/>
      </w:r>
      <w:proofErr w:type="spellStart"/>
      <w:r w:rsidR="00DF5971" w:rsidRPr="00DF5971">
        <w:rPr>
          <w:rFonts w:cs="Arial"/>
          <w:bCs/>
          <w:sz w:val="22"/>
          <w:szCs w:val="22"/>
          <w:lang w:val="en-GB"/>
        </w:rPr>
        <w:t>Residents</w:t>
      </w:r>
      <w:proofErr w:type="spellEnd"/>
      <w:r w:rsidR="00DF5971" w:rsidRPr="00DF5971">
        <w:rPr>
          <w:rFonts w:cs="Arial"/>
          <w:bCs/>
          <w:sz w:val="22"/>
          <w:szCs w:val="22"/>
          <w:lang w:val="en-GB"/>
        </w:rPr>
        <w:t xml:space="preserve"> have been consulted with on elements of the Joint Strategic Needs Assessment and the Health and Wellbeing Strategy. Service user feedback is embedded in contracted activity.</w:t>
      </w:r>
      <w:r>
        <w:rPr>
          <w:rFonts w:cs="Arial"/>
          <w:bCs/>
          <w:sz w:val="22"/>
          <w:szCs w:val="22"/>
          <w:lang w:val="en-GB"/>
        </w:rPr>
        <w:br/>
      </w:r>
      <w:r>
        <w:rPr>
          <w:rFonts w:cs="Arial"/>
          <w:bCs/>
          <w:sz w:val="22"/>
          <w:szCs w:val="22"/>
          <w:lang w:val="en-GB"/>
        </w:rPr>
        <w:br/>
      </w:r>
      <w:r w:rsidR="00DF5971" w:rsidRPr="00DF5971">
        <w:rPr>
          <w:rFonts w:cs="Arial"/>
          <w:b/>
          <w:bCs/>
          <w:sz w:val="22"/>
          <w:szCs w:val="22"/>
          <w:lang w:val="en-GB"/>
        </w:rPr>
        <w:t>Staff</w:t>
      </w:r>
      <w:r>
        <w:rPr>
          <w:rFonts w:cs="Arial"/>
          <w:b/>
          <w:bCs/>
          <w:sz w:val="22"/>
          <w:szCs w:val="22"/>
          <w:lang w:val="en-GB"/>
        </w:rPr>
        <w:br/>
      </w:r>
      <w:r>
        <w:rPr>
          <w:rFonts w:cs="Arial"/>
          <w:b/>
          <w:bCs/>
          <w:sz w:val="22"/>
          <w:szCs w:val="22"/>
          <w:lang w:val="en-GB"/>
        </w:rPr>
        <w:br/>
      </w:r>
      <w:r w:rsidR="00DF5971" w:rsidRPr="00DF5971">
        <w:rPr>
          <w:rFonts w:cs="Arial"/>
          <w:bCs/>
          <w:sz w:val="22"/>
          <w:szCs w:val="22"/>
          <w:lang w:val="en-GB"/>
        </w:rPr>
        <w:t>No direct consultation has happened with DMBC staff. There are currently no proposed changes to DMBC employed staff</w:t>
      </w:r>
      <w:r w:rsidR="00DF5971">
        <w:rPr>
          <w:rFonts w:cs="Arial"/>
          <w:bCs/>
          <w:sz w:val="22"/>
          <w:szCs w:val="22"/>
          <w:lang w:val="en-GB"/>
        </w:rPr>
        <w:t xml:space="preserve">, but </w:t>
      </w:r>
      <w:proofErr w:type="gramStart"/>
      <w:r w:rsidR="00DF5971">
        <w:rPr>
          <w:rFonts w:cs="Arial"/>
          <w:bCs/>
          <w:sz w:val="22"/>
          <w:szCs w:val="22"/>
          <w:lang w:val="en-GB"/>
        </w:rPr>
        <w:t>staff are</w:t>
      </w:r>
      <w:proofErr w:type="gramEnd"/>
      <w:r w:rsidR="00DF5971">
        <w:rPr>
          <w:rFonts w:cs="Arial"/>
          <w:bCs/>
          <w:sz w:val="22"/>
          <w:szCs w:val="22"/>
          <w:lang w:val="en-GB"/>
        </w:rPr>
        <w:t xml:space="preserve"> consulted as part of the budget setting process</w:t>
      </w:r>
      <w:r w:rsidR="00DF5971" w:rsidRPr="00DF5971">
        <w:rPr>
          <w:rFonts w:cs="Arial"/>
          <w:bCs/>
          <w:sz w:val="22"/>
          <w:szCs w:val="22"/>
          <w:lang w:val="en-GB"/>
        </w:rPr>
        <w:t>.</w:t>
      </w:r>
      <w:r>
        <w:rPr>
          <w:rFonts w:cs="Arial"/>
          <w:bCs/>
          <w:sz w:val="22"/>
          <w:szCs w:val="22"/>
          <w:lang w:val="en-GB"/>
        </w:rPr>
        <w:br/>
      </w:r>
      <w:r>
        <w:rPr>
          <w:rFonts w:cs="Arial"/>
          <w:bCs/>
          <w:sz w:val="22"/>
          <w:szCs w:val="22"/>
          <w:lang w:val="en-GB"/>
        </w:rPr>
        <w:br/>
      </w:r>
      <w:r w:rsidR="00DF5971" w:rsidRPr="00DF5971">
        <w:rPr>
          <w:rFonts w:cs="Arial"/>
          <w:b/>
          <w:bCs/>
          <w:sz w:val="22"/>
          <w:szCs w:val="22"/>
          <w:lang w:val="en-GB"/>
        </w:rPr>
        <w:t>Interdependent Programmes and Services</w:t>
      </w:r>
      <w:r>
        <w:rPr>
          <w:rFonts w:cs="Arial"/>
          <w:b/>
          <w:bCs/>
          <w:sz w:val="22"/>
          <w:szCs w:val="22"/>
          <w:lang w:val="en-GB"/>
        </w:rPr>
        <w:br/>
      </w:r>
      <w:r>
        <w:rPr>
          <w:rFonts w:cs="Arial"/>
          <w:b/>
          <w:bCs/>
          <w:sz w:val="22"/>
          <w:szCs w:val="22"/>
          <w:lang w:val="en-GB"/>
        </w:rPr>
        <w:br/>
      </w:r>
      <w:proofErr w:type="gramStart"/>
      <w:r w:rsidR="00DF5971" w:rsidRPr="00DF5971">
        <w:rPr>
          <w:rFonts w:cs="Arial"/>
          <w:bCs/>
          <w:sz w:val="22"/>
          <w:szCs w:val="22"/>
          <w:lang w:val="en-GB"/>
        </w:rPr>
        <w:t>Existing</w:t>
      </w:r>
      <w:proofErr w:type="gramEnd"/>
      <w:r w:rsidR="00DF5971" w:rsidRPr="00DF5971">
        <w:rPr>
          <w:rFonts w:cs="Arial"/>
          <w:bCs/>
          <w:sz w:val="22"/>
          <w:szCs w:val="22"/>
          <w:lang w:val="en-GB"/>
        </w:rPr>
        <w:t xml:space="preserve"> providers have been communicated with about future proposals. Other future providers </w:t>
      </w:r>
      <w:r w:rsidR="00176A93">
        <w:rPr>
          <w:rFonts w:cs="Arial"/>
          <w:bCs/>
          <w:sz w:val="22"/>
          <w:szCs w:val="22"/>
          <w:lang w:val="en-GB"/>
        </w:rPr>
        <w:t xml:space="preserve">will be </w:t>
      </w:r>
      <w:r w:rsidR="00DF5971" w:rsidRPr="00DF5971">
        <w:rPr>
          <w:rFonts w:cs="Arial"/>
          <w:bCs/>
          <w:sz w:val="22"/>
          <w:szCs w:val="22"/>
          <w:lang w:val="en-GB"/>
        </w:rPr>
        <w:t xml:space="preserve">communicated with via </w:t>
      </w:r>
      <w:proofErr w:type="spellStart"/>
      <w:r w:rsidR="00DF5971" w:rsidRPr="00DF5971">
        <w:rPr>
          <w:rFonts w:cs="Arial"/>
          <w:bCs/>
          <w:sz w:val="22"/>
          <w:szCs w:val="22"/>
          <w:lang w:val="en-GB"/>
        </w:rPr>
        <w:t>YORTender</w:t>
      </w:r>
      <w:proofErr w:type="spellEnd"/>
      <w:r w:rsidR="00DF5971" w:rsidRPr="00DF5971">
        <w:rPr>
          <w:rFonts w:cs="Arial"/>
          <w:bCs/>
          <w:sz w:val="22"/>
          <w:szCs w:val="22"/>
          <w:lang w:val="en-GB"/>
        </w:rPr>
        <w:t xml:space="preserve"> and </w:t>
      </w:r>
      <w:r w:rsidR="00176A93">
        <w:rPr>
          <w:rFonts w:cs="Arial"/>
          <w:bCs/>
          <w:sz w:val="22"/>
          <w:szCs w:val="22"/>
          <w:lang w:val="en-GB"/>
        </w:rPr>
        <w:t xml:space="preserve">will be </w:t>
      </w:r>
      <w:r w:rsidR="00DF5971" w:rsidRPr="00DF5971">
        <w:rPr>
          <w:rFonts w:cs="Arial"/>
          <w:bCs/>
          <w:sz w:val="22"/>
          <w:szCs w:val="22"/>
          <w:lang w:val="en-GB"/>
        </w:rPr>
        <w:t>invited to ‘soft-marketing’ event</w:t>
      </w:r>
      <w:r w:rsidR="00176A93">
        <w:rPr>
          <w:rFonts w:cs="Arial"/>
          <w:bCs/>
          <w:sz w:val="22"/>
          <w:szCs w:val="22"/>
          <w:lang w:val="en-GB"/>
        </w:rPr>
        <w:t>s</w:t>
      </w:r>
      <w:r w:rsidR="00DF5971" w:rsidRPr="00DF5971">
        <w:rPr>
          <w:rFonts w:cs="Arial"/>
          <w:bCs/>
          <w:sz w:val="22"/>
          <w:szCs w:val="22"/>
          <w:lang w:val="en-GB"/>
        </w:rPr>
        <w:t>.</w:t>
      </w:r>
      <w:r>
        <w:rPr>
          <w:rFonts w:cs="Arial"/>
          <w:bCs/>
          <w:sz w:val="22"/>
          <w:szCs w:val="22"/>
          <w:lang w:val="en-GB"/>
        </w:rPr>
        <w:br/>
      </w:r>
      <w:r>
        <w:rPr>
          <w:rFonts w:cs="Arial"/>
          <w:bCs/>
          <w:sz w:val="22"/>
          <w:szCs w:val="22"/>
          <w:lang w:val="en-GB"/>
        </w:rPr>
        <w:br/>
      </w:r>
      <w:r w:rsidR="006D7CAE" w:rsidRPr="00DF5971">
        <w:rPr>
          <w:rFonts w:cs="Arial"/>
          <w:b/>
          <w:bCs/>
          <w:sz w:val="22"/>
          <w:szCs w:val="22"/>
          <w:lang w:val="en-GB"/>
        </w:rPr>
        <w:t>Communication Channels and Frequency</w:t>
      </w:r>
      <w:r w:rsidR="006D7CAE">
        <w:rPr>
          <w:rFonts w:cs="Arial"/>
          <w:b/>
          <w:bCs/>
          <w:sz w:val="22"/>
          <w:szCs w:val="22"/>
          <w:lang w:val="en-GB"/>
        </w:rPr>
        <w:br/>
      </w:r>
      <w:r w:rsidR="006D7CAE">
        <w:rPr>
          <w:rFonts w:cs="Arial"/>
          <w:b/>
          <w:bCs/>
          <w:sz w:val="22"/>
          <w:szCs w:val="22"/>
          <w:lang w:val="en-GB"/>
        </w:rPr>
        <w:br/>
      </w:r>
      <w:r w:rsidR="006D7CAE" w:rsidRPr="00DF5971">
        <w:rPr>
          <w:rFonts w:cs="Arial"/>
          <w:bCs/>
          <w:sz w:val="22"/>
          <w:szCs w:val="22"/>
          <w:lang w:val="en-GB"/>
        </w:rPr>
        <w:t xml:space="preserve">This </w:t>
      </w:r>
      <w:r w:rsidR="006D7CAE">
        <w:rPr>
          <w:rFonts w:cs="Arial"/>
          <w:bCs/>
          <w:sz w:val="22"/>
          <w:szCs w:val="22"/>
          <w:lang w:val="en-GB"/>
        </w:rPr>
        <w:t xml:space="preserve">commissioning strategy </w:t>
      </w:r>
      <w:r w:rsidR="006D7CAE" w:rsidRPr="00DF5971">
        <w:rPr>
          <w:rFonts w:cs="Arial"/>
          <w:bCs/>
          <w:sz w:val="22"/>
          <w:szCs w:val="22"/>
          <w:lang w:val="en-GB"/>
        </w:rPr>
        <w:t>will use routine communication channels to communicate with current and potential future providers, any staff affected by these changes and Members.</w:t>
      </w:r>
    </w:p>
    <w:p w:rsidR="006D7CAE" w:rsidRDefault="006D7CAE" w:rsidP="00A61629">
      <w:pPr>
        <w:ind w:left="142" w:hanging="142"/>
        <w:rPr>
          <w:rFonts w:cs="Arial"/>
          <w:bCs/>
          <w:sz w:val="22"/>
          <w:szCs w:val="22"/>
          <w:lang w:val="en-GB"/>
        </w:rPr>
      </w:pPr>
    </w:p>
    <w:p w:rsidR="006D7CAE" w:rsidRDefault="006D7CAE" w:rsidP="00A61629">
      <w:pPr>
        <w:ind w:left="142"/>
        <w:rPr>
          <w:rFonts w:cs="Arial"/>
          <w:bCs/>
          <w:sz w:val="22"/>
          <w:szCs w:val="22"/>
          <w:lang w:val="en-GB"/>
        </w:rPr>
      </w:pPr>
      <w:r w:rsidRPr="00DF5971">
        <w:rPr>
          <w:rFonts w:cs="Arial"/>
          <w:bCs/>
          <w:sz w:val="22"/>
          <w:szCs w:val="22"/>
          <w:lang w:val="en-GB"/>
        </w:rPr>
        <w:lastRenderedPageBreak/>
        <w:t xml:space="preserve">For each </w:t>
      </w:r>
      <w:r w:rsidR="00F03AD9">
        <w:rPr>
          <w:rFonts w:cs="Arial"/>
          <w:bCs/>
          <w:sz w:val="22"/>
          <w:szCs w:val="22"/>
          <w:lang w:val="en-GB"/>
        </w:rPr>
        <w:t xml:space="preserve">public health service </w:t>
      </w:r>
      <w:r w:rsidRPr="00DF5971">
        <w:rPr>
          <w:rFonts w:cs="Arial"/>
          <w:bCs/>
          <w:sz w:val="22"/>
          <w:szCs w:val="22"/>
          <w:lang w:val="en-GB"/>
        </w:rPr>
        <w:t>area a separate communication plan will be developed in line with the procurement forward plan. These communication plans will include current and future providers, current and future service users, their families and carers, staff and members.</w:t>
      </w:r>
    </w:p>
    <w:p w:rsidR="000613F5" w:rsidRDefault="000613F5">
      <w:pPr>
        <w:overflowPunct/>
        <w:autoSpaceDE/>
        <w:autoSpaceDN/>
        <w:adjustRightInd/>
        <w:textAlignment w:val="auto"/>
        <w:rPr>
          <w:rFonts w:cs="Arial"/>
          <w:b/>
          <w:bCs/>
          <w:color w:val="C00000"/>
          <w:sz w:val="28"/>
          <w:szCs w:val="28"/>
          <w:lang w:val="en-GB"/>
        </w:rPr>
      </w:pPr>
    </w:p>
    <w:p w:rsidR="00DF5971" w:rsidRDefault="008F61A1" w:rsidP="007479C3">
      <w:pPr>
        <w:pStyle w:val="Heading1"/>
        <w:numPr>
          <w:ilvl w:val="0"/>
          <w:numId w:val="2"/>
        </w:numPr>
      </w:pPr>
      <w:bookmarkStart w:id="18" w:name="_Toc483994456"/>
      <w:r>
        <w:t>Strategic Commissioning Objectives</w:t>
      </w:r>
      <w:r w:rsidR="00DF5971" w:rsidRPr="00EF3D98">
        <w:t>:</w:t>
      </w:r>
      <w:bookmarkEnd w:id="18"/>
    </w:p>
    <w:p w:rsidR="003618A0" w:rsidRPr="003618A0" w:rsidRDefault="003618A0" w:rsidP="003618A0"/>
    <w:p w:rsidR="000E7FA8" w:rsidRDefault="002645F9" w:rsidP="00A61629">
      <w:pPr>
        <w:numPr>
          <w:ilvl w:val="0"/>
          <w:numId w:val="5"/>
        </w:numPr>
        <w:spacing w:before="100" w:beforeAutospacing="1" w:after="200" w:line="276" w:lineRule="auto"/>
        <w:contextualSpacing/>
        <w:jc w:val="both"/>
        <w:rPr>
          <w:sz w:val="22"/>
          <w:szCs w:val="22"/>
          <w:lang w:val="en-GB"/>
        </w:rPr>
      </w:pPr>
      <w:r w:rsidRPr="003618A0">
        <w:rPr>
          <w:sz w:val="22"/>
          <w:szCs w:val="22"/>
          <w:lang w:val="en-GB"/>
        </w:rPr>
        <w:t xml:space="preserve">To improve </w:t>
      </w:r>
      <w:r w:rsidR="00D7230E">
        <w:rPr>
          <w:sz w:val="22"/>
          <w:szCs w:val="22"/>
          <w:lang w:val="en-GB"/>
        </w:rPr>
        <w:t xml:space="preserve">and protect </w:t>
      </w:r>
      <w:r w:rsidRPr="003618A0">
        <w:rPr>
          <w:sz w:val="22"/>
          <w:szCs w:val="22"/>
          <w:lang w:val="en-GB"/>
        </w:rPr>
        <w:t>the health and wellbeing of Doncaster people and improve the health of the poorest fastest.</w:t>
      </w:r>
    </w:p>
    <w:p w:rsidR="003618A0" w:rsidRPr="003618A0" w:rsidRDefault="003618A0" w:rsidP="00A61629">
      <w:pPr>
        <w:spacing w:before="100" w:beforeAutospacing="1" w:after="200" w:line="276" w:lineRule="auto"/>
        <w:ind w:left="720"/>
        <w:contextualSpacing/>
        <w:jc w:val="both"/>
        <w:rPr>
          <w:sz w:val="22"/>
          <w:szCs w:val="22"/>
          <w:lang w:val="en-GB"/>
        </w:rPr>
      </w:pPr>
    </w:p>
    <w:p w:rsidR="000E7FA8" w:rsidRDefault="000E7FA8" w:rsidP="00A61629">
      <w:pPr>
        <w:numPr>
          <w:ilvl w:val="0"/>
          <w:numId w:val="5"/>
        </w:numPr>
        <w:spacing w:before="100" w:beforeAutospacing="1" w:after="200" w:line="276" w:lineRule="auto"/>
        <w:contextualSpacing/>
        <w:jc w:val="both"/>
        <w:rPr>
          <w:sz w:val="22"/>
          <w:szCs w:val="22"/>
          <w:lang w:val="en-GB"/>
        </w:rPr>
      </w:pPr>
      <w:r w:rsidRPr="003618A0">
        <w:rPr>
          <w:sz w:val="22"/>
          <w:szCs w:val="22"/>
          <w:lang w:val="en-GB"/>
        </w:rPr>
        <w:t>To improve the quality and effectiveness of commissioned public health services in line with available resources.</w:t>
      </w:r>
    </w:p>
    <w:p w:rsidR="003618A0" w:rsidRPr="003618A0" w:rsidRDefault="003618A0" w:rsidP="00A61629">
      <w:pPr>
        <w:spacing w:before="100" w:beforeAutospacing="1" w:after="200" w:line="276" w:lineRule="auto"/>
        <w:contextualSpacing/>
        <w:jc w:val="both"/>
        <w:rPr>
          <w:sz w:val="22"/>
          <w:szCs w:val="22"/>
          <w:lang w:val="en-GB"/>
        </w:rPr>
      </w:pPr>
    </w:p>
    <w:p w:rsidR="000E7FA8" w:rsidRPr="003C7B02" w:rsidRDefault="000E7FA8" w:rsidP="00A61629">
      <w:pPr>
        <w:numPr>
          <w:ilvl w:val="0"/>
          <w:numId w:val="5"/>
        </w:numPr>
        <w:spacing w:before="100" w:beforeAutospacing="1" w:after="200" w:line="276" w:lineRule="auto"/>
        <w:contextualSpacing/>
        <w:jc w:val="both"/>
        <w:rPr>
          <w:sz w:val="22"/>
          <w:szCs w:val="22"/>
          <w:lang w:val="en-GB"/>
        </w:rPr>
      </w:pPr>
      <w:r w:rsidRPr="003C7B02">
        <w:rPr>
          <w:sz w:val="22"/>
          <w:szCs w:val="22"/>
          <w:lang w:val="en-GB"/>
        </w:rPr>
        <w:t xml:space="preserve">To undertake the tender exercises for </w:t>
      </w:r>
      <w:r w:rsidR="00D7230E" w:rsidRPr="003C7B02">
        <w:rPr>
          <w:sz w:val="22"/>
          <w:szCs w:val="22"/>
          <w:lang w:val="en-GB"/>
        </w:rPr>
        <w:t>the proposed</w:t>
      </w:r>
      <w:r w:rsidRPr="003C7B02">
        <w:rPr>
          <w:sz w:val="22"/>
          <w:szCs w:val="22"/>
          <w:lang w:val="en-GB"/>
        </w:rPr>
        <w:t xml:space="preserve"> public health services</w:t>
      </w:r>
      <w:r w:rsidR="00D7230E" w:rsidRPr="003C7B02">
        <w:rPr>
          <w:sz w:val="22"/>
          <w:szCs w:val="22"/>
          <w:lang w:val="en-GB"/>
        </w:rPr>
        <w:t>.</w:t>
      </w:r>
      <w:r w:rsidRPr="003C7B02">
        <w:rPr>
          <w:sz w:val="22"/>
          <w:szCs w:val="22"/>
          <w:lang w:val="en-GB"/>
        </w:rPr>
        <w:t xml:space="preserve"> </w:t>
      </w:r>
    </w:p>
    <w:p w:rsidR="003618A0" w:rsidRPr="003C7B02" w:rsidRDefault="003618A0" w:rsidP="00A61629">
      <w:pPr>
        <w:spacing w:before="100" w:beforeAutospacing="1" w:after="200" w:line="276" w:lineRule="auto"/>
        <w:contextualSpacing/>
        <w:jc w:val="both"/>
        <w:rPr>
          <w:sz w:val="22"/>
          <w:szCs w:val="22"/>
          <w:lang w:val="en-GB"/>
        </w:rPr>
      </w:pPr>
    </w:p>
    <w:p w:rsidR="003C7B02" w:rsidRPr="003C7B02" w:rsidRDefault="003C7B02" w:rsidP="00A61629">
      <w:pPr>
        <w:numPr>
          <w:ilvl w:val="0"/>
          <w:numId w:val="5"/>
        </w:numPr>
        <w:spacing w:before="100" w:beforeAutospacing="1" w:after="200" w:line="276" w:lineRule="auto"/>
        <w:contextualSpacing/>
        <w:jc w:val="both"/>
        <w:rPr>
          <w:rFonts w:cs="Arial"/>
          <w:sz w:val="22"/>
          <w:szCs w:val="22"/>
        </w:rPr>
      </w:pPr>
      <w:r w:rsidRPr="003C7B02">
        <w:rPr>
          <w:rFonts w:cs="Arial"/>
          <w:sz w:val="22"/>
          <w:szCs w:val="22"/>
        </w:rPr>
        <w:t>To align the commissioning of public health services with the commissioning of other services by DMBC or partners through the implementation of the Doncaster Place Plan.</w:t>
      </w:r>
    </w:p>
    <w:p w:rsidR="003C7B02" w:rsidRPr="003C7B02" w:rsidRDefault="003C7B02" w:rsidP="00A61629">
      <w:pPr>
        <w:spacing w:before="100" w:beforeAutospacing="1" w:after="200" w:line="276" w:lineRule="auto"/>
        <w:ind w:left="720" w:firstLine="135"/>
        <w:contextualSpacing/>
        <w:jc w:val="both"/>
        <w:rPr>
          <w:rFonts w:cs="Arial"/>
          <w:sz w:val="22"/>
          <w:szCs w:val="22"/>
        </w:rPr>
      </w:pPr>
    </w:p>
    <w:p w:rsidR="003C7B02" w:rsidRPr="003C7B02" w:rsidRDefault="003C7B02" w:rsidP="00A61629">
      <w:pPr>
        <w:numPr>
          <w:ilvl w:val="0"/>
          <w:numId w:val="5"/>
        </w:numPr>
        <w:spacing w:before="100" w:beforeAutospacing="1" w:after="200" w:line="276" w:lineRule="auto"/>
        <w:contextualSpacing/>
        <w:jc w:val="both"/>
        <w:rPr>
          <w:rFonts w:cs="Arial"/>
          <w:sz w:val="22"/>
          <w:szCs w:val="22"/>
        </w:rPr>
      </w:pPr>
      <w:r w:rsidRPr="003C7B02">
        <w:rPr>
          <w:rFonts w:cs="Arial"/>
          <w:sz w:val="22"/>
          <w:szCs w:val="22"/>
        </w:rPr>
        <w:t>To maintain a wider determinants fund for use across the council’s public health duties.</w:t>
      </w:r>
    </w:p>
    <w:p w:rsidR="00B3252D" w:rsidRPr="003618A0" w:rsidRDefault="003C7B02" w:rsidP="00A61629">
      <w:pPr>
        <w:tabs>
          <w:tab w:val="left" w:pos="2775"/>
        </w:tabs>
        <w:spacing w:before="100" w:beforeAutospacing="1" w:after="200" w:line="276" w:lineRule="auto"/>
        <w:contextualSpacing/>
        <w:jc w:val="both"/>
        <w:rPr>
          <w:sz w:val="22"/>
          <w:szCs w:val="22"/>
          <w:lang w:val="en-GB"/>
        </w:rPr>
      </w:pPr>
      <w:r w:rsidRPr="003C7B02">
        <w:rPr>
          <w:sz w:val="22"/>
          <w:szCs w:val="22"/>
          <w:lang w:val="en-GB"/>
        </w:rPr>
        <w:tab/>
      </w:r>
    </w:p>
    <w:p w:rsidR="00B3252D" w:rsidRDefault="00B3252D" w:rsidP="00A61629">
      <w:pPr>
        <w:numPr>
          <w:ilvl w:val="0"/>
          <w:numId w:val="5"/>
        </w:numPr>
        <w:spacing w:before="100" w:beforeAutospacing="1" w:after="200" w:line="276" w:lineRule="auto"/>
        <w:contextualSpacing/>
        <w:jc w:val="both"/>
        <w:rPr>
          <w:sz w:val="22"/>
          <w:szCs w:val="22"/>
          <w:lang w:val="en-GB"/>
        </w:rPr>
      </w:pPr>
      <w:r w:rsidRPr="003618A0">
        <w:rPr>
          <w:sz w:val="22"/>
          <w:szCs w:val="22"/>
          <w:lang w:val="en-GB"/>
        </w:rPr>
        <w:t>To develop the public health commission</w:t>
      </w:r>
      <w:r>
        <w:rPr>
          <w:sz w:val="22"/>
          <w:szCs w:val="22"/>
          <w:lang w:val="en-GB"/>
        </w:rPr>
        <w:t>ing</w:t>
      </w:r>
      <w:r w:rsidRPr="003618A0">
        <w:rPr>
          <w:sz w:val="22"/>
          <w:szCs w:val="22"/>
          <w:lang w:val="en-GB"/>
        </w:rPr>
        <w:t xml:space="preserve"> workforce.</w:t>
      </w:r>
      <w:r w:rsidRPr="000E7FA8">
        <w:rPr>
          <w:lang w:val="en-GB"/>
        </w:rPr>
        <w:br/>
      </w:r>
    </w:p>
    <w:p w:rsidR="008F61A1" w:rsidRPr="000E7FA8" w:rsidRDefault="008F61A1" w:rsidP="00BE0F0F">
      <w:pPr>
        <w:rPr>
          <w:lang w:val="en-GB"/>
        </w:rPr>
      </w:pPr>
      <w:r w:rsidRPr="000E7FA8">
        <w:rPr>
          <w:lang w:val="en-GB"/>
        </w:rPr>
        <w:br/>
      </w:r>
    </w:p>
    <w:p w:rsidR="00D268F6" w:rsidRPr="00D268F6" w:rsidRDefault="0056534F" w:rsidP="001D4F05">
      <w:pPr>
        <w:pStyle w:val="Heading1"/>
        <w:numPr>
          <w:ilvl w:val="0"/>
          <w:numId w:val="2"/>
        </w:numPr>
      </w:pPr>
      <w:bookmarkStart w:id="19" w:name="_Toc483994457"/>
      <w:r w:rsidRPr="0056534F">
        <w:t>Approach to Strategic Planning</w:t>
      </w:r>
      <w:bookmarkEnd w:id="19"/>
      <w:r w:rsidR="00D268F6">
        <w:br/>
      </w:r>
    </w:p>
    <w:p w:rsidR="00D268F6" w:rsidRDefault="00D268F6" w:rsidP="00A61629">
      <w:pPr>
        <w:overflowPunct/>
        <w:autoSpaceDE/>
        <w:autoSpaceDN/>
        <w:adjustRightInd/>
        <w:spacing w:after="200" w:line="276" w:lineRule="auto"/>
        <w:jc w:val="both"/>
        <w:textAlignment w:val="auto"/>
        <w:rPr>
          <w:rFonts w:eastAsia="Calibri" w:cs="Arial"/>
          <w:sz w:val="22"/>
          <w:szCs w:val="22"/>
          <w:lang w:val="en-GB"/>
        </w:rPr>
      </w:pPr>
      <w:r w:rsidRPr="00D268F6">
        <w:rPr>
          <w:rFonts w:eastAsia="Calibri" w:cs="Arial"/>
          <w:sz w:val="22"/>
          <w:szCs w:val="22"/>
          <w:lang w:val="en-GB"/>
        </w:rPr>
        <w:t>Th</w:t>
      </w:r>
      <w:r>
        <w:rPr>
          <w:rFonts w:eastAsia="Calibri" w:cs="Arial"/>
          <w:sz w:val="22"/>
          <w:szCs w:val="22"/>
          <w:lang w:val="en-GB"/>
        </w:rPr>
        <w:t xml:space="preserve">is commissioning strategy is an opportunity to improve the effectiveness and quality of the services currently commissioned by public health. </w:t>
      </w:r>
    </w:p>
    <w:p w:rsidR="00E1653D" w:rsidRDefault="002F15EB" w:rsidP="00A61629">
      <w:pPr>
        <w:overflowPunct/>
        <w:autoSpaceDE/>
        <w:autoSpaceDN/>
        <w:adjustRightInd/>
        <w:spacing w:after="200" w:line="276" w:lineRule="auto"/>
        <w:jc w:val="both"/>
        <w:textAlignment w:val="auto"/>
        <w:rPr>
          <w:rFonts w:eastAsia="Calibri" w:cs="Arial"/>
          <w:sz w:val="22"/>
          <w:szCs w:val="22"/>
          <w:lang w:val="en-GB"/>
        </w:rPr>
      </w:pPr>
      <w:r>
        <w:rPr>
          <w:rFonts w:eastAsia="Calibri" w:cs="Arial"/>
          <w:sz w:val="22"/>
          <w:szCs w:val="22"/>
          <w:lang w:val="en-GB"/>
        </w:rPr>
        <w:t>T</w:t>
      </w:r>
      <w:r w:rsidR="00D268F6">
        <w:rPr>
          <w:rFonts w:eastAsia="Calibri" w:cs="Arial"/>
          <w:sz w:val="22"/>
          <w:szCs w:val="22"/>
          <w:lang w:val="en-GB"/>
        </w:rPr>
        <w:t xml:space="preserve">his strategy </w:t>
      </w:r>
      <w:r w:rsidR="00E1653D">
        <w:rPr>
          <w:rFonts w:eastAsia="Calibri" w:cs="Arial"/>
          <w:sz w:val="22"/>
          <w:szCs w:val="22"/>
          <w:lang w:val="en-GB"/>
        </w:rPr>
        <w:t xml:space="preserve">aims to </w:t>
      </w:r>
      <w:r w:rsidR="00E1653D" w:rsidRPr="00E1653D">
        <w:rPr>
          <w:rFonts w:eastAsia="Calibri" w:cs="Arial"/>
          <w:sz w:val="22"/>
          <w:szCs w:val="22"/>
          <w:lang w:val="en-GB"/>
        </w:rPr>
        <w:t xml:space="preserve">deliver the </w:t>
      </w:r>
      <w:r>
        <w:rPr>
          <w:rFonts w:eastAsia="Calibri" w:cs="Arial"/>
          <w:sz w:val="22"/>
          <w:szCs w:val="22"/>
          <w:lang w:val="en-GB"/>
        </w:rPr>
        <w:t>p</w:t>
      </w:r>
      <w:r w:rsidR="00E1653D" w:rsidRPr="00E1653D">
        <w:rPr>
          <w:rFonts w:eastAsia="Calibri" w:cs="Arial"/>
          <w:sz w:val="22"/>
          <w:szCs w:val="22"/>
          <w:lang w:val="en-GB"/>
        </w:rPr>
        <w:t xml:space="preserve">ublic health commissioned services in order to deliver the </w:t>
      </w:r>
      <w:r w:rsidR="007D2864">
        <w:rPr>
          <w:rFonts w:eastAsia="Calibri" w:cs="Arial"/>
          <w:sz w:val="22"/>
          <w:szCs w:val="22"/>
          <w:lang w:val="en-GB"/>
        </w:rPr>
        <w:t xml:space="preserve">Local </w:t>
      </w:r>
      <w:r w:rsidR="00E1653D" w:rsidRPr="00E1653D">
        <w:rPr>
          <w:rFonts w:eastAsia="Calibri" w:cs="Arial"/>
          <w:sz w:val="22"/>
          <w:szCs w:val="22"/>
          <w:lang w:val="en-GB"/>
        </w:rPr>
        <w:t>Authority’s health improvement and health protection statutory duties. The Authority will take the opportunity to work with existing and new providers to remodel care pathways to maintain service quality whilst reducing costs.</w:t>
      </w:r>
    </w:p>
    <w:p w:rsidR="00F52675" w:rsidRPr="00E039A0" w:rsidRDefault="00F52675" w:rsidP="00A61629">
      <w:pPr>
        <w:overflowPunct/>
        <w:autoSpaceDE/>
        <w:autoSpaceDN/>
        <w:adjustRightInd/>
        <w:spacing w:after="200" w:line="276" w:lineRule="auto"/>
        <w:jc w:val="both"/>
        <w:textAlignment w:val="auto"/>
        <w:rPr>
          <w:rFonts w:eastAsia="Calibri" w:cs="Arial"/>
          <w:sz w:val="22"/>
          <w:szCs w:val="22"/>
          <w:lang w:val="en-GB"/>
        </w:rPr>
      </w:pPr>
      <w:r w:rsidRPr="00E039A0">
        <w:rPr>
          <w:rFonts w:eastAsia="Calibri" w:cs="Arial"/>
          <w:sz w:val="22"/>
          <w:szCs w:val="22"/>
          <w:lang w:val="en-GB"/>
        </w:rPr>
        <w:t xml:space="preserve">This Public Health commissioning strategy links to the </w:t>
      </w:r>
      <w:r w:rsidR="007D2864">
        <w:rPr>
          <w:rFonts w:eastAsia="Calibri" w:cs="Arial"/>
          <w:sz w:val="22"/>
          <w:szCs w:val="22"/>
          <w:lang w:val="en-GB"/>
        </w:rPr>
        <w:t xml:space="preserve">following </w:t>
      </w:r>
      <w:r w:rsidRPr="00E039A0">
        <w:rPr>
          <w:rFonts w:eastAsia="Calibri" w:cs="Arial"/>
          <w:sz w:val="22"/>
          <w:szCs w:val="22"/>
          <w:lang w:val="en-GB"/>
        </w:rPr>
        <w:t>Council’s strategic themes</w:t>
      </w:r>
      <w:r w:rsidR="007D2864">
        <w:rPr>
          <w:rFonts w:eastAsia="Calibri" w:cs="Arial"/>
          <w:sz w:val="22"/>
          <w:szCs w:val="22"/>
          <w:lang w:val="en-GB"/>
        </w:rPr>
        <w:t>:</w:t>
      </w:r>
    </w:p>
    <w:p w:rsidR="003C7B02" w:rsidRDefault="00F52675" w:rsidP="00A61629">
      <w:pPr>
        <w:overflowPunct/>
        <w:autoSpaceDE/>
        <w:autoSpaceDN/>
        <w:adjustRightInd/>
        <w:spacing w:after="200" w:line="276" w:lineRule="auto"/>
        <w:jc w:val="both"/>
        <w:textAlignment w:val="auto"/>
        <w:rPr>
          <w:rFonts w:eastAsia="Calibri" w:cs="Arial"/>
          <w:sz w:val="22"/>
          <w:szCs w:val="22"/>
          <w:lang w:val="en-GB"/>
        </w:rPr>
      </w:pPr>
      <w:r w:rsidRPr="00E039A0">
        <w:rPr>
          <w:rFonts w:eastAsia="Calibri" w:cs="Arial"/>
          <w:b/>
          <w:sz w:val="22"/>
          <w:szCs w:val="22"/>
          <w:lang w:val="en-GB"/>
        </w:rPr>
        <w:t>Preventative Council</w:t>
      </w:r>
      <w:r w:rsidR="00BE0F0F">
        <w:rPr>
          <w:rFonts w:eastAsia="Calibri" w:cs="Arial"/>
          <w:b/>
          <w:sz w:val="22"/>
          <w:szCs w:val="22"/>
          <w:lang w:val="en-GB"/>
        </w:rPr>
        <w:t>:</w:t>
      </w:r>
      <w:r w:rsidRPr="00E039A0">
        <w:rPr>
          <w:rFonts w:eastAsia="Calibri" w:cs="Arial"/>
          <w:sz w:val="22"/>
          <w:szCs w:val="22"/>
          <w:lang w:val="en-GB"/>
        </w:rPr>
        <w:t xml:space="preserve"> The Public Health </w:t>
      </w:r>
      <w:r w:rsidR="00340162">
        <w:rPr>
          <w:rFonts w:eastAsia="Calibri" w:cs="Arial"/>
          <w:sz w:val="22"/>
          <w:szCs w:val="22"/>
          <w:lang w:val="en-GB"/>
        </w:rPr>
        <w:t xml:space="preserve">team </w:t>
      </w:r>
      <w:r w:rsidRPr="00E039A0">
        <w:rPr>
          <w:rFonts w:eastAsia="Calibri" w:cs="Arial"/>
          <w:sz w:val="22"/>
          <w:szCs w:val="22"/>
          <w:lang w:val="en-GB"/>
        </w:rPr>
        <w:t xml:space="preserve">commissions and supports a wide range of preventative services. Some of these address the causes of disease (smoking); all these services are being reviewed to ensure the local services deliver the cost/benefit ratios expected from the published literature. The Public Health </w:t>
      </w:r>
      <w:r w:rsidR="00340162">
        <w:rPr>
          <w:rFonts w:eastAsia="Calibri" w:cs="Arial"/>
          <w:sz w:val="22"/>
          <w:szCs w:val="22"/>
          <w:lang w:val="en-GB"/>
        </w:rPr>
        <w:t>team</w:t>
      </w:r>
      <w:r w:rsidR="00340162" w:rsidRPr="00E039A0">
        <w:rPr>
          <w:rFonts w:eastAsia="Calibri" w:cs="Arial"/>
          <w:sz w:val="22"/>
          <w:szCs w:val="22"/>
          <w:lang w:val="en-GB"/>
        </w:rPr>
        <w:t xml:space="preserve"> </w:t>
      </w:r>
      <w:r w:rsidRPr="00E039A0">
        <w:rPr>
          <w:rFonts w:eastAsia="Calibri" w:cs="Arial"/>
          <w:sz w:val="22"/>
          <w:szCs w:val="22"/>
          <w:lang w:val="en-GB"/>
        </w:rPr>
        <w:t>through the public health advice function provides access to the knowledge base and ‘what works’ evidence centres and has a track record of delivering nationally acclaimed programmes as well as embedding evaluation into routine work.</w:t>
      </w:r>
    </w:p>
    <w:p w:rsidR="003C7B02" w:rsidRDefault="003C7B02" w:rsidP="00A61629">
      <w:pPr>
        <w:overflowPunct/>
        <w:autoSpaceDE/>
        <w:autoSpaceDN/>
        <w:adjustRightInd/>
        <w:spacing w:after="200" w:line="276" w:lineRule="auto"/>
        <w:jc w:val="both"/>
        <w:textAlignment w:val="auto"/>
        <w:rPr>
          <w:rFonts w:eastAsia="Calibri" w:cs="Arial"/>
          <w:sz w:val="22"/>
          <w:szCs w:val="22"/>
          <w:lang w:val="en-GB"/>
        </w:rPr>
      </w:pPr>
      <w:r>
        <w:rPr>
          <w:rFonts w:eastAsia="Calibri" w:cs="Arial"/>
          <w:sz w:val="22"/>
          <w:szCs w:val="22"/>
          <w:lang w:val="en-GB"/>
        </w:rPr>
        <w:t xml:space="preserve">Increasingly prevention is considered to consist of both universal and targeted services. </w:t>
      </w:r>
    </w:p>
    <w:p w:rsidR="00F52675" w:rsidRPr="00E039A0" w:rsidRDefault="00F52675" w:rsidP="00A61629">
      <w:pPr>
        <w:overflowPunct/>
        <w:autoSpaceDE/>
        <w:autoSpaceDN/>
        <w:adjustRightInd/>
        <w:spacing w:after="200" w:line="276" w:lineRule="auto"/>
        <w:jc w:val="both"/>
        <w:textAlignment w:val="auto"/>
        <w:rPr>
          <w:rFonts w:eastAsia="Calibri" w:cs="Arial"/>
          <w:sz w:val="22"/>
          <w:szCs w:val="22"/>
          <w:lang w:val="en-GB"/>
        </w:rPr>
      </w:pPr>
      <w:r w:rsidRPr="00E039A0">
        <w:rPr>
          <w:rFonts w:eastAsia="Calibri" w:cs="Arial"/>
          <w:sz w:val="22"/>
          <w:szCs w:val="22"/>
          <w:lang w:val="en-GB"/>
        </w:rPr>
        <w:lastRenderedPageBreak/>
        <w:t xml:space="preserve">The expenditure attributed to the public health commissioned activity is only part of the Council’s entire expenditure and leadership on public health. An integrated place based approach to public health investment may make the most effective use of the Council’s entire resource. </w:t>
      </w:r>
    </w:p>
    <w:p w:rsidR="00F52675" w:rsidRPr="00E039A0" w:rsidRDefault="00F52675" w:rsidP="00A61629">
      <w:pPr>
        <w:overflowPunct/>
        <w:autoSpaceDE/>
        <w:autoSpaceDN/>
        <w:adjustRightInd/>
        <w:spacing w:after="200" w:line="276" w:lineRule="auto"/>
        <w:jc w:val="both"/>
        <w:textAlignment w:val="auto"/>
        <w:rPr>
          <w:rFonts w:eastAsia="Calibri" w:cs="Arial"/>
          <w:sz w:val="22"/>
          <w:szCs w:val="22"/>
          <w:lang w:val="en-GB"/>
        </w:rPr>
      </w:pPr>
      <w:r w:rsidRPr="00E039A0">
        <w:rPr>
          <w:rFonts w:eastAsia="Calibri" w:cs="Arial"/>
          <w:b/>
          <w:sz w:val="22"/>
          <w:szCs w:val="22"/>
          <w:lang w:val="en-GB"/>
        </w:rPr>
        <w:t>Commissioning and Productive Council, Future Proofed services and Organisational Culture change</w:t>
      </w:r>
      <w:r w:rsidR="00BE0F0F">
        <w:rPr>
          <w:rFonts w:eastAsia="Calibri" w:cs="Arial"/>
          <w:b/>
          <w:sz w:val="22"/>
          <w:szCs w:val="22"/>
          <w:lang w:val="en-GB"/>
        </w:rPr>
        <w:t>:</w:t>
      </w:r>
      <w:r w:rsidRPr="00E039A0">
        <w:rPr>
          <w:rFonts w:eastAsia="Calibri" w:cs="Arial"/>
          <w:sz w:val="22"/>
          <w:szCs w:val="22"/>
          <w:lang w:val="en-GB"/>
        </w:rPr>
        <w:t xml:space="preserve"> The Public Health </w:t>
      </w:r>
      <w:r w:rsidR="00340162">
        <w:rPr>
          <w:rFonts w:eastAsia="Calibri" w:cs="Arial"/>
          <w:sz w:val="22"/>
          <w:szCs w:val="22"/>
          <w:lang w:val="en-GB"/>
        </w:rPr>
        <w:t>team</w:t>
      </w:r>
      <w:r w:rsidR="00340162" w:rsidRPr="00E039A0">
        <w:rPr>
          <w:rFonts w:eastAsia="Calibri" w:cs="Arial"/>
          <w:sz w:val="22"/>
          <w:szCs w:val="22"/>
          <w:lang w:val="en-GB"/>
        </w:rPr>
        <w:t xml:space="preserve"> </w:t>
      </w:r>
      <w:r w:rsidRPr="00E039A0">
        <w:rPr>
          <w:rFonts w:eastAsia="Calibri" w:cs="Arial"/>
          <w:sz w:val="22"/>
          <w:szCs w:val="22"/>
          <w:lang w:val="en-GB"/>
        </w:rPr>
        <w:t xml:space="preserve">is already a commissioning directorate.  </w:t>
      </w:r>
      <w:r w:rsidR="00CB21B5">
        <w:rPr>
          <w:rFonts w:eastAsia="Calibri" w:cs="Arial"/>
          <w:sz w:val="22"/>
          <w:szCs w:val="22"/>
          <w:lang w:val="en-GB"/>
        </w:rPr>
        <w:t>Seventy-six percent (7</w:t>
      </w:r>
      <w:r w:rsidRPr="00E039A0">
        <w:rPr>
          <w:rFonts w:eastAsia="Calibri" w:cs="Arial"/>
          <w:sz w:val="22"/>
          <w:szCs w:val="22"/>
          <w:lang w:val="en-GB"/>
        </w:rPr>
        <w:t>6%</w:t>
      </w:r>
      <w:r w:rsidR="00CB21B5">
        <w:rPr>
          <w:rFonts w:eastAsia="Calibri" w:cs="Arial"/>
          <w:sz w:val="22"/>
          <w:szCs w:val="22"/>
          <w:lang w:val="en-GB"/>
        </w:rPr>
        <w:t xml:space="preserve">) </w:t>
      </w:r>
      <w:r w:rsidRPr="00E039A0">
        <w:rPr>
          <w:rFonts w:eastAsia="Calibri" w:cs="Arial"/>
          <w:sz w:val="22"/>
          <w:szCs w:val="22"/>
          <w:lang w:val="en-GB"/>
        </w:rPr>
        <w:t xml:space="preserve">of the Public Health Grant is used to commission services from other parties.  The directorate is already agreeing with other directorates joint work plans and is keen to maximise the effectiveness of an integrated approach to commissioning. In order to realise financial savings new models of delivery will be piloted and commissioned increasingly using technology where appropriate. The public health function has </w:t>
      </w:r>
      <w:r w:rsidR="0033776B">
        <w:rPr>
          <w:rFonts w:eastAsia="Calibri" w:cs="Arial"/>
          <w:sz w:val="22"/>
          <w:szCs w:val="22"/>
          <w:lang w:val="en-GB"/>
        </w:rPr>
        <w:t>moved</w:t>
      </w:r>
      <w:r w:rsidRPr="00E039A0">
        <w:rPr>
          <w:rFonts w:eastAsia="Calibri" w:cs="Arial"/>
          <w:sz w:val="22"/>
          <w:szCs w:val="22"/>
          <w:lang w:val="en-GB"/>
        </w:rPr>
        <w:t xml:space="preserve"> from the NHS to Local Government and is flexible and adaptable.</w:t>
      </w:r>
      <w:r w:rsidR="005A1BC0">
        <w:rPr>
          <w:rFonts w:eastAsia="Calibri" w:cs="Arial"/>
          <w:sz w:val="22"/>
          <w:szCs w:val="22"/>
          <w:lang w:val="en-GB"/>
        </w:rPr>
        <w:t xml:space="preserve"> Public Health is working with local partners as part of Doncaster Place Plan, with a shared approach to commissioning of services.</w:t>
      </w:r>
    </w:p>
    <w:p w:rsidR="00F52675" w:rsidRPr="00E039A0" w:rsidRDefault="00F52675" w:rsidP="00A61629">
      <w:pPr>
        <w:overflowPunct/>
        <w:autoSpaceDE/>
        <w:autoSpaceDN/>
        <w:adjustRightInd/>
        <w:spacing w:after="200" w:line="276" w:lineRule="auto"/>
        <w:jc w:val="both"/>
        <w:textAlignment w:val="auto"/>
        <w:rPr>
          <w:rFonts w:eastAsia="Calibri" w:cs="Arial"/>
          <w:sz w:val="22"/>
          <w:szCs w:val="22"/>
          <w:lang w:val="en-GB"/>
        </w:rPr>
      </w:pPr>
      <w:r w:rsidRPr="00E039A0">
        <w:rPr>
          <w:rFonts w:eastAsia="Calibri" w:cs="Arial"/>
          <w:b/>
          <w:sz w:val="22"/>
          <w:szCs w:val="22"/>
          <w:lang w:val="en-GB"/>
        </w:rPr>
        <w:t>Empowering &amp; Community Council</w:t>
      </w:r>
      <w:r w:rsidR="00BE0F0F">
        <w:rPr>
          <w:rFonts w:eastAsia="Calibri" w:cs="Arial"/>
          <w:b/>
          <w:sz w:val="22"/>
          <w:szCs w:val="22"/>
          <w:lang w:val="en-GB"/>
        </w:rPr>
        <w:t>:</w:t>
      </w:r>
      <w:r w:rsidRPr="00E039A0">
        <w:rPr>
          <w:rFonts w:eastAsia="Calibri" w:cs="Arial"/>
          <w:sz w:val="22"/>
          <w:szCs w:val="22"/>
          <w:lang w:val="en-GB"/>
        </w:rPr>
        <w:t xml:space="preserve"> Any reduction in service activity will need to be supported by a changing approach to service users. In particular empowering people to take responsibility for their own, their </w:t>
      </w:r>
      <w:r w:rsidR="0033776B" w:rsidRPr="00E039A0">
        <w:rPr>
          <w:rFonts w:eastAsia="Calibri" w:cs="Arial"/>
          <w:sz w:val="22"/>
          <w:szCs w:val="22"/>
          <w:lang w:val="en-GB"/>
        </w:rPr>
        <w:t>families</w:t>
      </w:r>
      <w:r w:rsidR="0033776B">
        <w:rPr>
          <w:rFonts w:eastAsia="Calibri" w:cs="Arial"/>
          <w:sz w:val="22"/>
          <w:szCs w:val="22"/>
          <w:lang w:val="en-GB"/>
        </w:rPr>
        <w:t>’</w:t>
      </w:r>
      <w:r w:rsidRPr="00E039A0">
        <w:rPr>
          <w:rFonts w:eastAsia="Calibri" w:cs="Arial"/>
          <w:sz w:val="22"/>
          <w:szCs w:val="22"/>
          <w:lang w:val="en-GB"/>
        </w:rPr>
        <w:t xml:space="preserve"> and their community’s health will be a key success criteria for this programme.</w:t>
      </w:r>
      <w:r w:rsidR="003C7B02" w:rsidRPr="003C7B02">
        <w:t xml:space="preserve"> </w:t>
      </w:r>
      <w:r w:rsidR="003C7B02" w:rsidRPr="003C7B02">
        <w:rPr>
          <w:rFonts w:eastAsia="Calibri" w:cs="Arial"/>
          <w:sz w:val="22"/>
          <w:szCs w:val="22"/>
          <w:lang w:val="en-GB"/>
        </w:rPr>
        <w:t xml:space="preserve">In addition preventative services need to be seen as an extension </w:t>
      </w:r>
      <w:r w:rsidR="003C7B02">
        <w:rPr>
          <w:rFonts w:eastAsia="Calibri" w:cs="Arial"/>
          <w:sz w:val="22"/>
          <w:szCs w:val="22"/>
          <w:lang w:val="en-GB"/>
        </w:rPr>
        <w:t xml:space="preserve">to </w:t>
      </w:r>
      <w:r w:rsidR="003C7B02" w:rsidRPr="003C7B02">
        <w:rPr>
          <w:rFonts w:eastAsia="Calibri" w:cs="Arial"/>
          <w:sz w:val="22"/>
          <w:szCs w:val="22"/>
          <w:lang w:val="en-GB"/>
        </w:rPr>
        <w:t>the community rather than a replacement of the community.</w:t>
      </w:r>
    </w:p>
    <w:p w:rsidR="00F52675" w:rsidRPr="00E039A0" w:rsidRDefault="00F52675" w:rsidP="00A61629">
      <w:pPr>
        <w:overflowPunct/>
        <w:autoSpaceDE/>
        <w:autoSpaceDN/>
        <w:adjustRightInd/>
        <w:spacing w:after="200" w:line="276" w:lineRule="auto"/>
        <w:jc w:val="both"/>
        <w:textAlignment w:val="auto"/>
        <w:rPr>
          <w:rFonts w:eastAsia="Calibri" w:cs="Arial"/>
          <w:sz w:val="22"/>
          <w:szCs w:val="22"/>
          <w:lang w:val="en-GB"/>
        </w:rPr>
      </w:pPr>
      <w:proofErr w:type="gramStart"/>
      <w:r w:rsidRPr="00E039A0">
        <w:rPr>
          <w:rFonts w:eastAsia="Calibri" w:cs="Arial"/>
          <w:b/>
          <w:sz w:val="22"/>
          <w:szCs w:val="22"/>
          <w:lang w:val="en-GB"/>
        </w:rPr>
        <w:t>Maximising our Assets</w:t>
      </w:r>
      <w:r w:rsidR="00BE0F0F">
        <w:rPr>
          <w:rFonts w:eastAsia="Calibri" w:cs="Arial"/>
          <w:b/>
          <w:sz w:val="22"/>
          <w:szCs w:val="22"/>
          <w:lang w:val="en-GB"/>
        </w:rPr>
        <w:t>:</w:t>
      </w:r>
      <w:r w:rsidRPr="00E039A0">
        <w:rPr>
          <w:rFonts w:eastAsia="Calibri" w:cs="Arial"/>
          <w:sz w:val="22"/>
          <w:szCs w:val="22"/>
          <w:lang w:val="en-GB"/>
        </w:rPr>
        <w:t xml:space="preserve"> The Public Health programme does not own physical assets but services that are commissioned by Public Health operate out of a number of premises.</w:t>
      </w:r>
      <w:proofErr w:type="gramEnd"/>
      <w:r w:rsidRPr="00E039A0">
        <w:rPr>
          <w:rFonts w:eastAsia="Calibri" w:cs="Arial"/>
          <w:sz w:val="22"/>
          <w:szCs w:val="22"/>
          <w:lang w:val="en-GB"/>
        </w:rPr>
        <w:t xml:space="preserve"> A more strategic approach to assets could reduce duplication and increase effectiveness of the commissioned services.</w:t>
      </w:r>
    </w:p>
    <w:p w:rsidR="00E1653D" w:rsidRPr="00E1653D" w:rsidRDefault="00F52675" w:rsidP="00A61629">
      <w:pPr>
        <w:overflowPunct/>
        <w:autoSpaceDE/>
        <w:autoSpaceDN/>
        <w:adjustRightInd/>
        <w:spacing w:after="200" w:line="276" w:lineRule="auto"/>
        <w:jc w:val="both"/>
        <w:textAlignment w:val="auto"/>
        <w:rPr>
          <w:rFonts w:eastAsia="Calibri" w:cs="Arial"/>
          <w:sz w:val="22"/>
          <w:szCs w:val="22"/>
          <w:lang w:val="en-GB"/>
        </w:rPr>
      </w:pPr>
      <w:r w:rsidRPr="00E039A0">
        <w:rPr>
          <w:rFonts w:eastAsia="Calibri" w:cs="Arial"/>
          <w:sz w:val="22"/>
          <w:szCs w:val="22"/>
          <w:lang w:val="en-GB"/>
        </w:rPr>
        <w:t xml:space="preserve">In addition to physical assets Doncaster and Doncaster people have a number of other assets that are identified in the Joint Strategic Needs Assessment and could be built upon to improve health. </w:t>
      </w:r>
      <w:r w:rsidR="00F03AD9">
        <w:rPr>
          <w:rFonts w:eastAsia="Calibri" w:cs="Arial"/>
          <w:sz w:val="22"/>
          <w:szCs w:val="22"/>
          <w:lang w:val="en-GB"/>
        </w:rPr>
        <w:t xml:space="preserve">The service will be aimed at meeting </w:t>
      </w:r>
      <w:r w:rsidR="00E1653D" w:rsidRPr="00E1653D">
        <w:rPr>
          <w:rFonts w:eastAsia="Calibri" w:cs="Arial"/>
          <w:sz w:val="22"/>
          <w:szCs w:val="22"/>
          <w:lang w:val="en-GB"/>
        </w:rPr>
        <w:t>the needs of Doncaster population</w:t>
      </w:r>
      <w:r w:rsidR="00F03AD9">
        <w:rPr>
          <w:rFonts w:eastAsia="Calibri" w:cs="Arial"/>
          <w:sz w:val="22"/>
          <w:szCs w:val="22"/>
          <w:lang w:val="en-GB"/>
        </w:rPr>
        <w:t xml:space="preserve">, and </w:t>
      </w:r>
      <w:r w:rsidR="00E1653D" w:rsidRPr="00E1653D">
        <w:rPr>
          <w:rFonts w:eastAsia="Calibri" w:cs="Arial"/>
          <w:sz w:val="22"/>
          <w:szCs w:val="22"/>
          <w:lang w:val="en-GB"/>
        </w:rPr>
        <w:t xml:space="preserve">individuals, families and communities </w:t>
      </w:r>
      <w:r w:rsidR="00F03AD9">
        <w:rPr>
          <w:rFonts w:eastAsia="Calibri" w:cs="Arial"/>
          <w:sz w:val="22"/>
          <w:szCs w:val="22"/>
          <w:lang w:val="en-GB"/>
        </w:rPr>
        <w:t>of Doncaster</w:t>
      </w:r>
      <w:r w:rsidR="00792287">
        <w:rPr>
          <w:rFonts w:eastAsia="Calibri" w:cs="Arial"/>
          <w:sz w:val="22"/>
          <w:szCs w:val="22"/>
          <w:lang w:val="en-GB"/>
        </w:rPr>
        <w:t xml:space="preserve"> </w:t>
      </w:r>
      <w:r w:rsidR="00E1653D" w:rsidRPr="00E1653D">
        <w:rPr>
          <w:rFonts w:eastAsia="Calibri" w:cs="Arial"/>
          <w:sz w:val="22"/>
          <w:szCs w:val="22"/>
          <w:lang w:val="en-GB"/>
        </w:rPr>
        <w:t>to take control over their own health and wellbeing.</w:t>
      </w:r>
    </w:p>
    <w:p w:rsidR="00E1653D" w:rsidRDefault="00E1653D" w:rsidP="00A61629">
      <w:pPr>
        <w:overflowPunct/>
        <w:autoSpaceDE/>
        <w:autoSpaceDN/>
        <w:adjustRightInd/>
        <w:spacing w:after="200" w:line="276" w:lineRule="auto"/>
        <w:jc w:val="both"/>
        <w:textAlignment w:val="auto"/>
        <w:rPr>
          <w:rFonts w:eastAsia="Calibri" w:cs="Arial"/>
          <w:sz w:val="22"/>
          <w:szCs w:val="22"/>
          <w:lang w:val="en-GB"/>
        </w:rPr>
      </w:pPr>
      <w:r>
        <w:rPr>
          <w:rFonts w:eastAsia="Calibri" w:cs="Arial"/>
          <w:sz w:val="22"/>
          <w:szCs w:val="22"/>
          <w:lang w:val="en-GB"/>
        </w:rPr>
        <w:t xml:space="preserve">The public health </w:t>
      </w:r>
      <w:r w:rsidR="00340162">
        <w:rPr>
          <w:rFonts w:eastAsia="Calibri" w:cs="Arial"/>
          <w:sz w:val="22"/>
          <w:szCs w:val="22"/>
          <w:lang w:val="en-GB"/>
        </w:rPr>
        <w:t xml:space="preserve">team </w:t>
      </w:r>
      <w:r>
        <w:rPr>
          <w:rFonts w:eastAsia="Calibri" w:cs="Arial"/>
          <w:sz w:val="22"/>
          <w:szCs w:val="22"/>
          <w:lang w:val="en-GB"/>
        </w:rPr>
        <w:t xml:space="preserve">uses </w:t>
      </w:r>
      <w:r w:rsidR="003D697B">
        <w:rPr>
          <w:rFonts w:eastAsia="Calibri" w:cs="Arial"/>
          <w:sz w:val="22"/>
          <w:szCs w:val="22"/>
          <w:lang w:val="en-GB"/>
        </w:rPr>
        <w:t xml:space="preserve">a </w:t>
      </w:r>
      <w:r>
        <w:rPr>
          <w:rFonts w:eastAsia="Calibri" w:cs="Arial"/>
          <w:sz w:val="22"/>
          <w:szCs w:val="22"/>
          <w:lang w:val="en-GB"/>
        </w:rPr>
        <w:t>range of tools and approache</w:t>
      </w:r>
      <w:r w:rsidR="003D697B">
        <w:rPr>
          <w:rFonts w:eastAsia="Calibri" w:cs="Arial"/>
          <w:sz w:val="22"/>
          <w:szCs w:val="22"/>
          <w:lang w:val="en-GB"/>
        </w:rPr>
        <w:t>s</w:t>
      </w:r>
      <w:r>
        <w:rPr>
          <w:rFonts w:eastAsia="Calibri" w:cs="Arial"/>
          <w:sz w:val="22"/>
          <w:szCs w:val="22"/>
          <w:lang w:val="en-GB"/>
        </w:rPr>
        <w:t xml:space="preserve"> to maximise the effectiveness of its commissioning activity e.g. multi-criteria decision analysis, Social Return </w:t>
      </w:r>
      <w:proofErr w:type="gramStart"/>
      <w:r>
        <w:rPr>
          <w:rFonts w:eastAsia="Calibri" w:cs="Arial"/>
          <w:sz w:val="22"/>
          <w:szCs w:val="22"/>
          <w:lang w:val="en-GB"/>
        </w:rPr>
        <w:t>On</w:t>
      </w:r>
      <w:proofErr w:type="gramEnd"/>
      <w:r>
        <w:rPr>
          <w:rFonts w:eastAsia="Calibri" w:cs="Arial"/>
          <w:sz w:val="22"/>
          <w:szCs w:val="22"/>
          <w:lang w:val="en-GB"/>
        </w:rPr>
        <w:t xml:space="preserve"> Investment etc</w:t>
      </w:r>
      <w:r w:rsidR="00792287">
        <w:rPr>
          <w:rFonts w:eastAsia="Calibri" w:cs="Arial"/>
          <w:sz w:val="22"/>
          <w:szCs w:val="22"/>
          <w:lang w:val="en-GB"/>
        </w:rPr>
        <w:t>.</w:t>
      </w:r>
      <w:r>
        <w:rPr>
          <w:rFonts w:eastAsia="Calibri" w:cs="Arial"/>
          <w:sz w:val="22"/>
          <w:szCs w:val="22"/>
          <w:lang w:val="en-GB"/>
        </w:rPr>
        <w:t xml:space="preserve"> </w:t>
      </w:r>
    </w:p>
    <w:p w:rsidR="005C66FC" w:rsidRDefault="00E039A0" w:rsidP="00A61629">
      <w:pPr>
        <w:overflowPunct/>
        <w:autoSpaceDE/>
        <w:autoSpaceDN/>
        <w:adjustRightInd/>
        <w:spacing w:after="200" w:line="276" w:lineRule="auto"/>
        <w:jc w:val="both"/>
        <w:textAlignment w:val="auto"/>
        <w:rPr>
          <w:rFonts w:eastAsia="Calibri" w:cs="Arial"/>
          <w:sz w:val="22"/>
          <w:szCs w:val="22"/>
          <w:lang w:val="en-GB"/>
        </w:rPr>
      </w:pPr>
      <w:r w:rsidRPr="00E039A0">
        <w:rPr>
          <w:rFonts w:eastAsia="Calibri" w:cs="Arial"/>
          <w:b/>
          <w:bCs/>
          <w:sz w:val="22"/>
          <w:szCs w:val="22"/>
          <w:lang w:val="en-GB"/>
        </w:rPr>
        <w:t>Procurement Implications</w:t>
      </w:r>
      <w:r w:rsidR="00BE0F0F">
        <w:rPr>
          <w:rFonts w:eastAsia="Calibri" w:cs="Arial"/>
          <w:b/>
          <w:bCs/>
          <w:sz w:val="22"/>
          <w:szCs w:val="22"/>
          <w:lang w:val="en-GB"/>
        </w:rPr>
        <w:t xml:space="preserve">: </w:t>
      </w:r>
      <w:bookmarkStart w:id="20" w:name="_Toc362285177"/>
      <w:r w:rsidRPr="00E039A0">
        <w:rPr>
          <w:rFonts w:eastAsia="Calibri" w:cs="Arial"/>
          <w:sz w:val="22"/>
          <w:szCs w:val="22"/>
          <w:lang w:val="en-GB"/>
        </w:rPr>
        <w:t>Th</w:t>
      </w:r>
      <w:r>
        <w:rPr>
          <w:rFonts w:eastAsia="Calibri" w:cs="Arial"/>
          <w:sz w:val="22"/>
          <w:szCs w:val="22"/>
          <w:lang w:val="en-GB"/>
        </w:rPr>
        <w:t>is strategy describes t</w:t>
      </w:r>
      <w:r w:rsidRPr="00E039A0">
        <w:rPr>
          <w:rFonts w:eastAsia="Calibri" w:cs="Arial"/>
          <w:sz w:val="22"/>
          <w:szCs w:val="22"/>
          <w:lang w:val="en-GB"/>
        </w:rPr>
        <w:t xml:space="preserve">he delivery of the </w:t>
      </w:r>
      <w:r w:rsidR="00792287">
        <w:rPr>
          <w:rFonts w:eastAsia="Calibri" w:cs="Arial"/>
          <w:sz w:val="22"/>
          <w:szCs w:val="22"/>
          <w:lang w:val="en-GB"/>
        </w:rPr>
        <w:t xml:space="preserve">proposed </w:t>
      </w:r>
      <w:r w:rsidRPr="00E039A0">
        <w:rPr>
          <w:rFonts w:eastAsia="Calibri" w:cs="Arial"/>
          <w:sz w:val="22"/>
          <w:szCs w:val="22"/>
          <w:lang w:val="en-GB"/>
        </w:rPr>
        <w:t>public health commissioned services together with the discharge of health improvement and health protection function. The transfer of public health responsibilities under the Health and Social Care Act 2012 ha</w:t>
      </w:r>
      <w:r w:rsidR="00340162">
        <w:rPr>
          <w:rFonts w:eastAsia="Calibri" w:cs="Arial"/>
          <w:sz w:val="22"/>
          <w:szCs w:val="22"/>
          <w:lang w:val="en-GB"/>
        </w:rPr>
        <w:t>d</w:t>
      </w:r>
      <w:r w:rsidRPr="00E039A0">
        <w:rPr>
          <w:rFonts w:eastAsia="Calibri" w:cs="Arial"/>
          <w:sz w:val="22"/>
          <w:szCs w:val="22"/>
          <w:lang w:val="en-GB"/>
        </w:rPr>
        <w:t xml:space="preserve"> significant implications for the Council including the transfer of commissioning responsibilities for a range of public health services.</w:t>
      </w:r>
      <w:bookmarkEnd w:id="20"/>
      <w:r w:rsidRPr="00E039A0">
        <w:rPr>
          <w:rFonts w:eastAsia="Calibri" w:cs="Arial"/>
          <w:sz w:val="22"/>
          <w:szCs w:val="22"/>
          <w:lang w:val="en-GB"/>
        </w:rPr>
        <w:t xml:space="preserve"> </w:t>
      </w:r>
    </w:p>
    <w:p w:rsidR="00E217B9" w:rsidRDefault="00E217B9" w:rsidP="001D4F05">
      <w:pPr>
        <w:overflowPunct/>
        <w:autoSpaceDE/>
        <w:autoSpaceDN/>
        <w:adjustRightInd/>
        <w:spacing w:after="200"/>
        <w:textAlignment w:val="auto"/>
        <w:rPr>
          <w:rFonts w:eastAsia="Calibri" w:cs="Arial"/>
          <w:i/>
          <w:sz w:val="22"/>
          <w:szCs w:val="22"/>
          <w:lang w:val="en-GB"/>
        </w:rPr>
      </w:pPr>
    </w:p>
    <w:p w:rsidR="005C66FC" w:rsidRPr="0029346B" w:rsidRDefault="00312D04" w:rsidP="00312D04">
      <w:pPr>
        <w:pStyle w:val="Heading2"/>
      </w:pPr>
      <w:bookmarkStart w:id="21" w:name="_Toc483994458"/>
      <w:r>
        <w:t xml:space="preserve">5.1 </w:t>
      </w:r>
      <w:r>
        <w:tab/>
      </w:r>
      <w:r w:rsidR="005C66FC" w:rsidRPr="0029346B">
        <w:t xml:space="preserve">Public health grant </w:t>
      </w:r>
      <w:r w:rsidR="003C7B02">
        <w:t>20</w:t>
      </w:r>
      <w:r w:rsidR="005C66FC" w:rsidRPr="0029346B">
        <w:t xml:space="preserve">17/18 to </w:t>
      </w:r>
      <w:r w:rsidR="003C7B02">
        <w:t>20</w:t>
      </w:r>
      <w:r w:rsidR="005C66FC" w:rsidRPr="0029346B">
        <w:t>20/21</w:t>
      </w:r>
      <w:bookmarkEnd w:id="21"/>
    </w:p>
    <w:p w:rsidR="00312D04" w:rsidRDefault="00312D04" w:rsidP="001D4F05">
      <w:pPr>
        <w:rPr>
          <w:sz w:val="22"/>
        </w:rPr>
      </w:pPr>
    </w:p>
    <w:p w:rsidR="003C7B02" w:rsidRPr="003C7B02" w:rsidRDefault="003C7B02" w:rsidP="00A61629">
      <w:pPr>
        <w:overflowPunct/>
        <w:autoSpaceDE/>
        <w:autoSpaceDN/>
        <w:adjustRightInd/>
        <w:spacing w:after="200" w:line="276" w:lineRule="auto"/>
        <w:jc w:val="both"/>
        <w:textAlignment w:val="auto"/>
        <w:rPr>
          <w:rFonts w:cs="Arial"/>
          <w:sz w:val="22"/>
          <w:szCs w:val="22"/>
          <w:lang w:val="en-GB"/>
        </w:rPr>
      </w:pPr>
      <w:r w:rsidRPr="003C7B02">
        <w:rPr>
          <w:rFonts w:cs="Arial"/>
          <w:sz w:val="22"/>
          <w:szCs w:val="22"/>
          <w:lang w:val="en-GB"/>
        </w:rPr>
        <w:t xml:space="preserve">The national reductions in the size of the public health grant have been notified as 2.6% a year; a real terms saving of 3.9% a year. If no changes are made to the current </w:t>
      </w:r>
      <w:r w:rsidRPr="003C7B02">
        <w:rPr>
          <w:rFonts w:cs="Arial"/>
          <w:sz w:val="22"/>
          <w:szCs w:val="22"/>
          <w:lang w:val="en-GB"/>
        </w:rPr>
        <w:lastRenderedPageBreak/>
        <w:t xml:space="preserve">commissioning portfolio there will be </w:t>
      </w:r>
      <w:proofErr w:type="gramStart"/>
      <w:r w:rsidRPr="003C7B02">
        <w:rPr>
          <w:rFonts w:cs="Arial"/>
          <w:sz w:val="22"/>
          <w:szCs w:val="22"/>
          <w:lang w:val="en-GB"/>
        </w:rPr>
        <w:t>an overspend</w:t>
      </w:r>
      <w:proofErr w:type="gramEnd"/>
      <w:r w:rsidRPr="003C7B02">
        <w:rPr>
          <w:rFonts w:cs="Arial"/>
          <w:sz w:val="22"/>
          <w:szCs w:val="22"/>
          <w:lang w:val="en-GB"/>
        </w:rPr>
        <w:t xml:space="preserve"> against the public health grant of £850,000 in 2018/19, £1,427,000 in 2019/20 and £2,045,000 by 2020/21.</w:t>
      </w:r>
    </w:p>
    <w:p w:rsidR="003C7B02" w:rsidRPr="003C7B02" w:rsidRDefault="003C7B02" w:rsidP="00A61629">
      <w:pPr>
        <w:overflowPunct/>
        <w:autoSpaceDE/>
        <w:autoSpaceDN/>
        <w:adjustRightInd/>
        <w:spacing w:after="200" w:line="276" w:lineRule="auto"/>
        <w:jc w:val="both"/>
        <w:textAlignment w:val="auto"/>
        <w:rPr>
          <w:rFonts w:cs="Arial"/>
          <w:sz w:val="22"/>
          <w:szCs w:val="22"/>
          <w:lang w:val="en-GB"/>
        </w:rPr>
      </w:pPr>
      <w:r w:rsidRPr="003C7B02">
        <w:rPr>
          <w:rFonts w:cs="Arial"/>
          <w:sz w:val="22"/>
          <w:szCs w:val="22"/>
          <w:lang w:val="en-GB"/>
        </w:rPr>
        <w:t>This strategy proposes a pragmatic and phased approach to achieving a break even position on the public health grant. Whilst the national reductions in the public health grant have been mitigated to some extent by judicious  commissioning by ensuring where any services tendered in the last 3 years have had built in reductions in contract values, there are still a number of significant commissioning decisions required. To support this approach there is a £500k public health contingency fund.</w:t>
      </w:r>
    </w:p>
    <w:p w:rsidR="003C7B02" w:rsidRPr="003C7B02" w:rsidRDefault="003C7B02" w:rsidP="00A61629">
      <w:pPr>
        <w:widowControl w:val="0"/>
        <w:overflowPunct/>
        <w:autoSpaceDE/>
        <w:autoSpaceDN/>
        <w:adjustRightInd/>
        <w:spacing w:after="200" w:line="276" w:lineRule="auto"/>
        <w:jc w:val="both"/>
        <w:textAlignment w:val="auto"/>
        <w:outlineLvl w:val="0"/>
        <w:rPr>
          <w:rFonts w:cs="Arial"/>
          <w:sz w:val="22"/>
          <w:szCs w:val="22"/>
          <w:lang w:val="en-GB"/>
        </w:rPr>
      </w:pPr>
      <w:bookmarkStart w:id="22" w:name="_Toc483986949"/>
      <w:bookmarkStart w:id="23" w:name="_Toc483994459"/>
      <w:r w:rsidRPr="003C7B02">
        <w:rPr>
          <w:rFonts w:cs="Arial"/>
          <w:sz w:val="22"/>
          <w:szCs w:val="22"/>
          <w:lang w:val="en-GB"/>
        </w:rPr>
        <w:t xml:space="preserve">In 2017 four of the public health commissioned services </w:t>
      </w:r>
      <w:proofErr w:type="gramStart"/>
      <w:r w:rsidRPr="003C7B02">
        <w:rPr>
          <w:rFonts w:cs="Arial"/>
          <w:sz w:val="22"/>
          <w:szCs w:val="22"/>
          <w:lang w:val="en-GB"/>
        </w:rPr>
        <w:t>require</w:t>
      </w:r>
      <w:proofErr w:type="gramEnd"/>
      <w:r w:rsidRPr="003C7B02">
        <w:rPr>
          <w:rFonts w:cs="Arial"/>
          <w:sz w:val="22"/>
          <w:szCs w:val="22"/>
          <w:lang w:val="en-GB"/>
        </w:rPr>
        <w:t xml:space="preserve"> procurement as the existing contracts expire. These services are:</w:t>
      </w:r>
      <w:bookmarkEnd w:id="22"/>
      <w:bookmarkEnd w:id="23"/>
      <w:r w:rsidRPr="003C7B02">
        <w:rPr>
          <w:rFonts w:cs="Arial"/>
          <w:sz w:val="22"/>
          <w:szCs w:val="22"/>
          <w:lang w:val="en-GB"/>
        </w:rPr>
        <w:t xml:space="preserve"> </w:t>
      </w:r>
    </w:p>
    <w:p w:rsidR="003C7B02" w:rsidRPr="003C7B02" w:rsidRDefault="003C7B02" w:rsidP="00A61629">
      <w:pPr>
        <w:widowControl w:val="0"/>
        <w:numPr>
          <w:ilvl w:val="0"/>
          <w:numId w:val="41"/>
        </w:numPr>
        <w:overflowPunct/>
        <w:autoSpaceDE/>
        <w:autoSpaceDN/>
        <w:adjustRightInd/>
        <w:spacing w:after="200" w:line="276" w:lineRule="auto"/>
        <w:jc w:val="both"/>
        <w:textAlignment w:val="auto"/>
        <w:outlineLvl w:val="0"/>
        <w:rPr>
          <w:rFonts w:cs="Arial"/>
          <w:bCs/>
          <w:sz w:val="22"/>
          <w:szCs w:val="22"/>
          <w:lang w:val="en-GB"/>
        </w:rPr>
      </w:pPr>
      <w:bookmarkStart w:id="24" w:name="_Toc483986950"/>
      <w:bookmarkStart w:id="25" w:name="_Toc483994460"/>
      <w:r w:rsidRPr="003C7B02">
        <w:rPr>
          <w:rFonts w:cs="Arial"/>
          <w:bCs/>
          <w:sz w:val="22"/>
          <w:szCs w:val="22"/>
          <w:lang w:val="en-GB"/>
        </w:rPr>
        <w:t>0-5 public health services including Health Visiting, Smoking in Pregnancy, Healthy Start vitamin distribution and targeted services for vulnerable families;</w:t>
      </w:r>
      <w:bookmarkEnd w:id="24"/>
      <w:bookmarkEnd w:id="25"/>
      <w:r w:rsidRPr="003C7B02">
        <w:rPr>
          <w:rFonts w:cs="Arial"/>
          <w:bCs/>
          <w:sz w:val="22"/>
          <w:szCs w:val="22"/>
          <w:lang w:val="en-GB"/>
        </w:rPr>
        <w:t xml:space="preserve"> </w:t>
      </w:r>
    </w:p>
    <w:p w:rsidR="003C7B02" w:rsidRPr="003C7B02" w:rsidRDefault="003C7B02" w:rsidP="00A61629">
      <w:pPr>
        <w:widowControl w:val="0"/>
        <w:numPr>
          <w:ilvl w:val="0"/>
          <w:numId w:val="41"/>
        </w:numPr>
        <w:overflowPunct/>
        <w:autoSpaceDE/>
        <w:autoSpaceDN/>
        <w:adjustRightInd/>
        <w:spacing w:after="200" w:line="276" w:lineRule="auto"/>
        <w:jc w:val="both"/>
        <w:textAlignment w:val="auto"/>
        <w:outlineLvl w:val="0"/>
        <w:rPr>
          <w:rFonts w:cs="Arial"/>
          <w:bCs/>
          <w:sz w:val="22"/>
          <w:szCs w:val="22"/>
          <w:lang w:val="en-GB"/>
        </w:rPr>
      </w:pPr>
      <w:bookmarkStart w:id="26" w:name="_Toc483986951"/>
      <w:bookmarkStart w:id="27" w:name="_Toc483994461"/>
      <w:r w:rsidRPr="003C7B02">
        <w:rPr>
          <w:rFonts w:cs="Arial"/>
          <w:bCs/>
          <w:sz w:val="22"/>
          <w:szCs w:val="22"/>
          <w:lang w:val="en-GB"/>
        </w:rPr>
        <w:t>Infection prevention and control services</w:t>
      </w:r>
      <w:bookmarkEnd w:id="26"/>
      <w:bookmarkEnd w:id="27"/>
    </w:p>
    <w:p w:rsidR="003C7B02" w:rsidRPr="003C7B02" w:rsidRDefault="003C7B02" w:rsidP="00A61629">
      <w:pPr>
        <w:widowControl w:val="0"/>
        <w:numPr>
          <w:ilvl w:val="0"/>
          <w:numId w:val="41"/>
        </w:numPr>
        <w:overflowPunct/>
        <w:autoSpaceDE/>
        <w:autoSpaceDN/>
        <w:adjustRightInd/>
        <w:spacing w:after="200" w:line="276" w:lineRule="auto"/>
        <w:jc w:val="both"/>
        <w:textAlignment w:val="auto"/>
        <w:outlineLvl w:val="0"/>
        <w:rPr>
          <w:rFonts w:cs="Arial"/>
          <w:bCs/>
          <w:sz w:val="22"/>
          <w:szCs w:val="22"/>
          <w:lang w:val="en-GB"/>
        </w:rPr>
      </w:pPr>
      <w:bookmarkStart w:id="28" w:name="_Toc483986952"/>
      <w:bookmarkStart w:id="29" w:name="_Toc483994462"/>
      <w:r w:rsidRPr="003C7B02">
        <w:rPr>
          <w:rFonts w:cs="Arial"/>
          <w:bCs/>
          <w:sz w:val="22"/>
          <w:szCs w:val="22"/>
          <w:lang w:val="en-GB"/>
        </w:rPr>
        <w:t>Doncaster Smoke-free Services</w:t>
      </w:r>
      <w:bookmarkEnd w:id="28"/>
      <w:bookmarkEnd w:id="29"/>
      <w:r w:rsidRPr="003C7B02">
        <w:rPr>
          <w:rFonts w:cs="Arial"/>
          <w:bCs/>
          <w:sz w:val="22"/>
          <w:szCs w:val="22"/>
          <w:lang w:val="en-GB"/>
        </w:rPr>
        <w:t xml:space="preserve"> </w:t>
      </w:r>
    </w:p>
    <w:p w:rsidR="003C7B02" w:rsidRPr="003C7B02" w:rsidRDefault="003C7B02" w:rsidP="00A61629">
      <w:pPr>
        <w:widowControl w:val="0"/>
        <w:numPr>
          <w:ilvl w:val="0"/>
          <w:numId w:val="41"/>
        </w:numPr>
        <w:overflowPunct/>
        <w:autoSpaceDE/>
        <w:autoSpaceDN/>
        <w:adjustRightInd/>
        <w:spacing w:after="200" w:line="276" w:lineRule="auto"/>
        <w:jc w:val="both"/>
        <w:textAlignment w:val="auto"/>
        <w:outlineLvl w:val="0"/>
        <w:rPr>
          <w:rFonts w:cs="Arial"/>
          <w:bCs/>
          <w:sz w:val="22"/>
          <w:szCs w:val="22"/>
          <w:lang w:val="en-GB"/>
        </w:rPr>
      </w:pPr>
      <w:bookmarkStart w:id="30" w:name="_Toc483986953"/>
      <w:bookmarkStart w:id="31" w:name="_Toc483994463"/>
      <w:r w:rsidRPr="003C7B02">
        <w:rPr>
          <w:rFonts w:cs="Arial"/>
          <w:bCs/>
          <w:sz w:val="22"/>
          <w:szCs w:val="22"/>
          <w:lang w:val="en-GB"/>
        </w:rPr>
        <w:t>Healthy Living for BME women in Doncaster.</w:t>
      </w:r>
      <w:bookmarkEnd w:id="30"/>
      <w:bookmarkEnd w:id="31"/>
    </w:p>
    <w:p w:rsidR="003C7B02" w:rsidRPr="003C7B02" w:rsidRDefault="003C7B02" w:rsidP="00A61629">
      <w:pPr>
        <w:overflowPunct/>
        <w:autoSpaceDE/>
        <w:autoSpaceDN/>
        <w:adjustRightInd/>
        <w:spacing w:after="200" w:line="276" w:lineRule="auto"/>
        <w:jc w:val="both"/>
        <w:textAlignment w:val="auto"/>
        <w:rPr>
          <w:rFonts w:cs="Arial"/>
          <w:sz w:val="22"/>
          <w:szCs w:val="22"/>
          <w:lang w:val="en-GB"/>
        </w:rPr>
      </w:pPr>
      <w:r w:rsidRPr="003C7B02">
        <w:rPr>
          <w:rFonts w:cs="Arial"/>
          <w:sz w:val="22"/>
          <w:szCs w:val="22"/>
          <w:lang w:val="en-GB"/>
        </w:rPr>
        <w:t xml:space="preserve">If these services are procured within the expected financial envelopes then </w:t>
      </w:r>
      <w:proofErr w:type="gramStart"/>
      <w:r w:rsidRPr="003C7B02">
        <w:rPr>
          <w:rFonts w:cs="Arial"/>
          <w:sz w:val="22"/>
          <w:szCs w:val="22"/>
          <w:lang w:val="en-GB"/>
        </w:rPr>
        <w:t>the overspend</w:t>
      </w:r>
      <w:proofErr w:type="gramEnd"/>
      <w:r w:rsidRPr="003C7B02">
        <w:rPr>
          <w:rFonts w:cs="Arial"/>
          <w:sz w:val="22"/>
          <w:szCs w:val="22"/>
          <w:lang w:val="en-GB"/>
        </w:rPr>
        <w:t xml:space="preserve"> against the reduced public health grant can be brought down to £282,000 in 2018/19, £690,000 in 2019/20 and £1,138,000 by 2020/21.</w:t>
      </w:r>
    </w:p>
    <w:p w:rsidR="003C7B02" w:rsidRPr="003C7B02" w:rsidRDefault="003C7B02" w:rsidP="00A61629">
      <w:pPr>
        <w:overflowPunct/>
        <w:autoSpaceDE/>
        <w:autoSpaceDN/>
        <w:adjustRightInd/>
        <w:spacing w:after="200" w:line="276" w:lineRule="auto"/>
        <w:jc w:val="both"/>
        <w:textAlignment w:val="auto"/>
        <w:rPr>
          <w:rFonts w:cs="Arial"/>
          <w:sz w:val="22"/>
          <w:szCs w:val="22"/>
          <w:lang w:val="en-GB"/>
        </w:rPr>
      </w:pPr>
      <w:r w:rsidRPr="003C7B02">
        <w:rPr>
          <w:rFonts w:cs="Arial"/>
          <w:sz w:val="22"/>
          <w:szCs w:val="22"/>
          <w:lang w:val="en-GB"/>
        </w:rPr>
        <w:t>In addition to the services being re-commissioned in 2017/18 a further key decision will be required by cabinet, in due course, to agree where future service changes may be required.</w:t>
      </w:r>
    </w:p>
    <w:p w:rsidR="0033776B" w:rsidRDefault="0033776B" w:rsidP="0033776B"/>
    <w:p w:rsidR="00DF2A7D" w:rsidRDefault="00DF2A7D">
      <w:pPr>
        <w:overflowPunct/>
        <w:autoSpaceDE/>
        <w:autoSpaceDN/>
        <w:adjustRightInd/>
        <w:textAlignment w:val="auto"/>
        <w:rPr>
          <w:rFonts w:cs="Arial"/>
          <w:b/>
        </w:rPr>
      </w:pPr>
    </w:p>
    <w:p w:rsidR="000613F5" w:rsidRDefault="000613F5">
      <w:pPr>
        <w:overflowPunct/>
        <w:autoSpaceDE/>
        <w:autoSpaceDN/>
        <w:adjustRightInd/>
        <w:textAlignment w:val="auto"/>
        <w:rPr>
          <w:rFonts w:cs="Arial"/>
          <w:b/>
        </w:rPr>
      </w:pPr>
      <w:r>
        <w:rPr>
          <w:rFonts w:cs="Arial"/>
          <w:b/>
        </w:rPr>
        <w:br w:type="page"/>
      </w:r>
    </w:p>
    <w:p w:rsidR="0058030D" w:rsidRDefault="0058030D" w:rsidP="0058030D"/>
    <w:p w:rsidR="005C66FC" w:rsidRPr="00E96392" w:rsidRDefault="00312D04" w:rsidP="00312D04">
      <w:pPr>
        <w:pStyle w:val="Heading2"/>
      </w:pPr>
      <w:bookmarkStart w:id="32" w:name="_Toc483994464"/>
      <w:r>
        <w:t>5.2</w:t>
      </w:r>
      <w:r>
        <w:tab/>
      </w:r>
      <w:r w:rsidR="005C66FC" w:rsidRPr="00E96392">
        <w:t xml:space="preserve">Proposed changes to start </w:t>
      </w:r>
      <w:r w:rsidR="006728E8">
        <w:t>20</w:t>
      </w:r>
      <w:r w:rsidR="005C66FC" w:rsidRPr="00E96392">
        <w:t>18/19</w:t>
      </w:r>
      <w:bookmarkEnd w:id="32"/>
    </w:p>
    <w:p w:rsidR="00312D04" w:rsidRDefault="00312D04" w:rsidP="001D4F05">
      <w:pPr>
        <w:rPr>
          <w:rFonts w:eastAsia="Calibri" w:cs="Arial"/>
          <w:sz w:val="22"/>
          <w:szCs w:val="22"/>
          <w:lang w:val="en-GB"/>
        </w:rPr>
      </w:pPr>
    </w:p>
    <w:p w:rsidR="00D07AA1" w:rsidRPr="0029346B" w:rsidRDefault="0080643D" w:rsidP="00A61629">
      <w:pPr>
        <w:spacing w:afterLines="200" w:after="480" w:line="276" w:lineRule="auto"/>
        <w:jc w:val="both"/>
        <w:rPr>
          <w:rFonts w:cs="Arial"/>
          <w:sz w:val="22"/>
          <w:szCs w:val="22"/>
        </w:rPr>
      </w:pPr>
      <w:r w:rsidRPr="0029346B">
        <w:rPr>
          <w:rFonts w:eastAsia="Calibri" w:cs="Arial"/>
          <w:sz w:val="22"/>
          <w:szCs w:val="22"/>
          <w:lang w:val="en-GB"/>
        </w:rPr>
        <w:t>Four of the public health services are due for re-commissioning</w:t>
      </w:r>
      <w:r w:rsidR="00D07AA1" w:rsidRPr="0029346B">
        <w:rPr>
          <w:rFonts w:eastAsia="Calibri" w:cs="Arial"/>
          <w:sz w:val="22"/>
          <w:szCs w:val="22"/>
          <w:lang w:val="en-GB"/>
        </w:rPr>
        <w:t xml:space="preserve"> from 1 April 2018</w:t>
      </w:r>
      <w:r w:rsidRPr="0029346B">
        <w:rPr>
          <w:rFonts w:eastAsia="Calibri" w:cs="Arial"/>
          <w:sz w:val="22"/>
          <w:szCs w:val="22"/>
          <w:lang w:val="en-GB"/>
        </w:rPr>
        <w:t xml:space="preserve">. They are part of Public Health Grant. </w:t>
      </w:r>
      <w:r w:rsidR="00D07AA1" w:rsidRPr="0029346B">
        <w:rPr>
          <w:rFonts w:cs="Arial"/>
          <w:sz w:val="22"/>
          <w:szCs w:val="22"/>
        </w:rPr>
        <w:t xml:space="preserve">These services are: </w:t>
      </w:r>
    </w:p>
    <w:p w:rsidR="00D07AA1" w:rsidRPr="0029346B" w:rsidRDefault="00D07AA1" w:rsidP="00A61629">
      <w:pPr>
        <w:pStyle w:val="ListParagraph"/>
        <w:numPr>
          <w:ilvl w:val="0"/>
          <w:numId w:val="7"/>
        </w:numPr>
        <w:spacing w:afterLines="200" w:after="480"/>
        <w:jc w:val="both"/>
        <w:rPr>
          <w:rFonts w:ascii="Arial" w:hAnsi="Arial" w:cs="Arial"/>
        </w:rPr>
      </w:pPr>
      <w:r w:rsidRPr="0029346B">
        <w:rPr>
          <w:rFonts w:ascii="Arial" w:hAnsi="Arial" w:cs="Arial"/>
        </w:rPr>
        <w:t xml:space="preserve">0-5 services including Health Visiting, Smoking in Pregnancy, Healthy Start vitamin distribution and targeted services for vulnerable families; </w:t>
      </w:r>
    </w:p>
    <w:p w:rsidR="00D07AA1" w:rsidRPr="0029346B" w:rsidRDefault="00D07AA1" w:rsidP="00A61629">
      <w:pPr>
        <w:pStyle w:val="ListParagraph"/>
        <w:numPr>
          <w:ilvl w:val="0"/>
          <w:numId w:val="7"/>
        </w:numPr>
        <w:spacing w:afterLines="200" w:after="480"/>
        <w:jc w:val="both"/>
        <w:rPr>
          <w:rFonts w:ascii="Arial" w:hAnsi="Arial" w:cs="Arial"/>
        </w:rPr>
      </w:pPr>
      <w:r w:rsidRPr="0029346B">
        <w:rPr>
          <w:rFonts w:ascii="Arial" w:hAnsi="Arial" w:cs="Arial"/>
        </w:rPr>
        <w:t xml:space="preserve">Infection </w:t>
      </w:r>
      <w:r w:rsidR="004F2DB8">
        <w:rPr>
          <w:rFonts w:ascii="Arial" w:hAnsi="Arial" w:cs="Arial"/>
        </w:rPr>
        <w:t>P</w:t>
      </w:r>
      <w:r w:rsidRPr="0029346B">
        <w:rPr>
          <w:rFonts w:ascii="Arial" w:hAnsi="Arial" w:cs="Arial"/>
        </w:rPr>
        <w:t xml:space="preserve">revention and </w:t>
      </w:r>
      <w:r w:rsidR="004F2DB8">
        <w:rPr>
          <w:rFonts w:ascii="Arial" w:hAnsi="Arial" w:cs="Arial"/>
        </w:rPr>
        <w:t>C</w:t>
      </w:r>
      <w:r w:rsidRPr="0029346B">
        <w:rPr>
          <w:rFonts w:ascii="Arial" w:hAnsi="Arial" w:cs="Arial"/>
        </w:rPr>
        <w:t>ontrol services</w:t>
      </w:r>
    </w:p>
    <w:p w:rsidR="00D07AA1" w:rsidRPr="0029346B" w:rsidRDefault="00D07AA1" w:rsidP="00A61629">
      <w:pPr>
        <w:pStyle w:val="ListParagraph"/>
        <w:numPr>
          <w:ilvl w:val="0"/>
          <w:numId w:val="7"/>
        </w:numPr>
        <w:spacing w:afterLines="200" w:after="480"/>
        <w:jc w:val="both"/>
        <w:rPr>
          <w:rFonts w:ascii="Arial" w:hAnsi="Arial" w:cs="Arial"/>
        </w:rPr>
      </w:pPr>
      <w:r w:rsidRPr="0029346B">
        <w:rPr>
          <w:rFonts w:ascii="Arial" w:hAnsi="Arial" w:cs="Arial"/>
        </w:rPr>
        <w:t xml:space="preserve">Doncaster Smoke-free Services </w:t>
      </w:r>
    </w:p>
    <w:p w:rsidR="00D07AA1" w:rsidRPr="0029346B" w:rsidRDefault="00D07AA1" w:rsidP="00A61629">
      <w:pPr>
        <w:pStyle w:val="ListParagraph"/>
        <w:numPr>
          <w:ilvl w:val="0"/>
          <w:numId w:val="7"/>
        </w:numPr>
        <w:spacing w:afterLines="200" w:after="480"/>
        <w:jc w:val="both"/>
        <w:rPr>
          <w:rFonts w:ascii="Arial" w:hAnsi="Arial" w:cs="Arial"/>
        </w:rPr>
      </w:pPr>
      <w:r w:rsidRPr="0029346B">
        <w:rPr>
          <w:rFonts w:ascii="Arial" w:hAnsi="Arial" w:cs="Arial"/>
        </w:rPr>
        <w:t>Healthy Living for BME women in Doncaster.</w:t>
      </w:r>
    </w:p>
    <w:p w:rsidR="003C7B02" w:rsidRDefault="003C7B02" w:rsidP="00A748B0">
      <w:pPr>
        <w:rPr>
          <w:b/>
          <w:u w:val="single"/>
        </w:rPr>
      </w:pPr>
    </w:p>
    <w:p w:rsidR="00A748B0" w:rsidRPr="00587E31" w:rsidRDefault="00A748B0" w:rsidP="00A748B0">
      <w:pPr>
        <w:rPr>
          <w:b/>
          <w:u w:val="single"/>
        </w:rPr>
      </w:pPr>
      <w:r w:rsidRPr="00587E31">
        <w:rPr>
          <w:b/>
          <w:u w:val="single"/>
        </w:rPr>
        <w:t>0-5 Services</w:t>
      </w:r>
    </w:p>
    <w:p w:rsidR="00061782" w:rsidRPr="007B1BF1" w:rsidRDefault="00061782" w:rsidP="00061782">
      <w:pPr>
        <w:rPr>
          <w:sz w:val="22"/>
          <w:szCs w:val="22"/>
        </w:rPr>
      </w:pPr>
    </w:p>
    <w:p w:rsidR="00A748B0" w:rsidRDefault="00A748B0" w:rsidP="00A61629">
      <w:pPr>
        <w:spacing w:afterLines="200" w:after="480" w:line="276" w:lineRule="auto"/>
        <w:jc w:val="both"/>
        <w:rPr>
          <w:i/>
          <w:sz w:val="22"/>
          <w:szCs w:val="22"/>
        </w:rPr>
      </w:pPr>
      <w:r>
        <w:rPr>
          <w:i/>
          <w:sz w:val="22"/>
          <w:szCs w:val="22"/>
        </w:rPr>
        <w:t xml:space="preserve">The Description of Service Area: </w:t>
      </w:r>
    </w:p>
    <w:p w:rsidR="005C3BA5" w:rsidRPr="001A1093" w:rsidRDefault="005C3BA5" w:rsidP="00823F6A">
      <w:pPr>
        <w:spacing w:after="200"/>
        <w:jc w:val="both"/>
        <w:rPr>
          <w:rFonts w:cs="Arial"/>
          <w:sz w:val="22"/>
          <w:szCs w:val="22"/>
        </w:rPr>
      </w:pPr>
      <w:r w:rsidRPr="001A1093">
        <w:rPr>
          <w:rFonts w:cs="Arial"/>
          <w:sz w:val="22"/>
          <w:szCs w:val="22"/>
        </w:rPr>
        <w:t>The aims and objectives</w:t>
      </w:r>
      <w:r w:rsidR="0076651B">
        <w:rPr>
          <w:rFonts w:cs="Arial"/>
          <w:sz w:val="22"/>
          <w:szCs w:val="22"/>
        </w:rPr>
        <w:t xml:space="preserve"> of this service are that </w:t>
      </w:r>
      <w:r w:rsidRPr="001A1093">
        <w:rPr>
          <w:rFonts w:cs="Arial"/>
          <w:sz w:val="22"/>
          <w:szCs w:val="22"/>
        </w:rPr>
        <w:t>all children and their families receive the Healthy Child Programme (0-5), including universal access and early identification of additional and/or complex needs.</w:t>
      </w:r>
      <w:r w:rsidR="0076651B">
        <w:rPr>
          <w:rFonts w:cs="Arial"/>
          <w:sz w:val="22"/>
          <w:szCs w:val="22"/>
        </w:rPr>
        <w:t xml:space="preserve"> This includes:</w:t>
      </w:r>
    </w:p>
    <w:p w:rsidR="005C3BA5" w:rsidRPr="001A1093" w:rsidRDefault="00A57069" w:rsidP="00823F6A">
      <w:pPr>
        <w:pStyle w:val="ListParagraph"/>
        <w:numPr>
          <w:ilvl w:val="0"/>
          <w:numId w:val="12"/>
        </w:numPr>
        <w:spacing w:line="240" w:lineRule="auto"/>
        <w:jc w:val="both"/>
        <w:rPr>
          <w:rFonts w:ascii="Arial" w:hAnsi="Arial" w:cs="Arial"/>
        </w:rPr>
      </w:pPr>
      <w:r>
        <w:rPr>
          <w:rFonts w:ascii="Arial" w:hAnsi="Arial" w:cs="Arial"/>
        </w:rPr>
        <w:t>S</w:t>
      </w:r>
      <w:r w:rsidR="005C3BA5" w:rsidRPr="001A1093">
        <w:rPr>
          <w:rFonts w:ascii="Arial" w:hAnsi="Arial" w:cs="Arial"/>
        </w:rPr>
        <w:t xml:space="preserve">upport families to give children the best start in life based on current evidence of 1001 Critical Days: The Importance of the </w:t>
      </w:r>
      <w:r w:rsidR="005C3BA5" w:rsidRPr="00A57069">
        <w:rPr>
          <w:rFonts w:ascii="Arial" w:hAnsi="Arial" w:cs="Arial"/>
          <w:i/>
        </w:rPr>
        <w:t>Conception to Age Two Period</w:t>
      </w:r>
      <w:r w:rsidR="005C3BA5" w:rsidRPr="001A1093">
        <w:rPr>
          <w:rFonts w:ascii="Arial" w:hAnsi="Arial" w:cs="Arial"/>
        </w:rPr>
        <w:t xml:space="preserve"> as a foundation on which to build support in the early years and beyond</w:t>
      </w:r>
      <w:r>
        <w:rPr>
          <w:rFonts w:ascii="Arial" w:hAnsi="Arial" w:cs="Arial"/>
        </w:rPr>
        <w:t>;</w:t>
      </w:r>
    </w:p>
    <w:p w:rsidR="005C3BA5" w:rsidRPr="001A1093" w:rsidRDefault="00A57069" w:rsidP="00823F6A">
      <w:pPr>
        <w:pStyle w:val="ListParagraph"/>
        <w:numPr>
          <w:ilvl w:val="0"/>
          <w:numId w:val="12"/>
        </w:numPr>
        <w:spacing w:line="240" w:lineRule="auto"/>
        <w:jc w:val="both"/>
        <w:rPr>
          <w:rFonts w:ascii="Arial" w:hAnsi="Arial" w:cs="Arial"/>
        </w:rPr>
      </w:pPr>
      <w:r>
        <w:rPr>
          <w:rFonts w:ascii="Arial" w:hAnsi="Arial" w:cs="Arial"/>
        </w:rPr>
        <w:t>P</w:t>
      </w:r>
      <w:r w:rsidR="005C3BA5" w:rsidRPr="001A1093">
        <w:rPr>
          <w:rFonts w:ascii="Arial" w:hAnsi="Arial" w:cs="Arial"/>
        </w:rPr>
        <w:t>rovide expert advice and support to families to enable them to provide a secure environment to lay down the foundations for emotional resilience and good physical and mental health</w:t>
      </w:r>
      <w:r>
        <w:rPr>
          <w:rFonts w:ascii="Arial" w:hAnsi="Arial" w:cs="Arial"/>
        </w:rPr>
        <w:t>;</w:t>
      </w:r>
    </w:p>
    <w:p w:rsidR="005C3BA5" w:rsidRPr="00051C62" w:rsidRDefault="00A57069" w:rsidP="00823F6A">
      <w:pPr>
        <w:pStyle w:val="ListParagraph"/>
        <w:numPr>
          <w:ilvl w:val="0"/>
          <w:numId w:val="12"/>
        </w:numPr>
        <w:spacing w:line="240" w:lineRule="auto"/>
        <w:jc w:val="both"/>
      </w:pPr>
      <w:r w:rsidRPr="001A1093">
        <w:rPr>
          <w:rFonts w:ascii="Arial" w:hAnsi="Arial" w:cs="Arial"/>
        </w:rPr>
        <w:t>Enable</w:t>
      </w:r>
      <w:r w:rsidR="005C3BA5" w:rsidRPr="001A1093">
        <w:rPr>
          <w:rFonts w:ascii="Arial" w:hAnsi="Arial" w:cs="Arial"/>
        </w:rPr>
        <w:t xml:space="preserve"> children to be ready to learn at 2, ready for school by 5 and to achieve the best possible educational outcomes</w:t>
      </w:r>
      <w:r>
        <w:rPr>
          <w:rFonts w:ascii="Arial" w:hAnsi="Arial" w:cs="Arial"/>
        </w:rPr>
        <w:t>.</w:t>
      </w:r>
    </w:p>
    <w:p w:rsidR="00A748B0" w:rsidRDefault="00A748B0" w:rsidP="00823F6A">
      <w:pPr>
        <w:spacing w:after="200"/>
        <w:jc w:val="both"/>
        <w:rPr>
          <w:sz w:val="22"/>
          <w:szCs w:val="22"/>
        </w:rPr>
      </w:pPr>
      <w:r w:rsidRPr="007B1BF1">
        <w:rPr>
          <w:sz w:val="22"/>
          <w:szCs w:val="22"/>
        </w:rPr>
        <w:t>Giving every child the best start in life is crucial to reducing health inequalities across the life course. The foundations for virtually every aspect of human development - physical, intellectual and emotional – are set in place during pregnancy and in early childhood.</w:t>
      </w:r>
    </w:p>
    <w:p w:rsidR="00A748B0" w:rsidRPr="007B1BF1" w:rsidRDefault="00A748B0" w:rsidP="00823F6A">
      <w:pPr>
        <w:spacing w:after="200"/>
        <w:jc w:val="both"/>
        <w:rPr>
          <w:sz w:val="22"/>
          <w:szCs w:val="22"/>
        </w:rPr>
      </w:pPr>
      <w:r w:rsidRPr="007B1BF1">
        <w:rPr>
          <w:sz w:val="22"/>
          <w:szCs w:val="22"/>
        </w:rPr>
        <w:t>All families with a child aged 0-5 years and all pregnant women currently resident in the local authority area must be offered the Healthy Child Programme via 5 mandated universal checks and assessments. The Healthy Child Programme promotes child development and aims to improve child health outcomes</w:t>
      </w:r>
      <w:r w:rsidR="00A57069">
        <w:rPr>
          <w:sz w:val="22"/>
          <w:szCs w:val="22"/>
        </w:rPr>
        <w:t>.</w:t>
      </w:r>
      <w:r w:rsidRPr="007B1BF1">
        <w:rPr>
          <w:sz w:val="22"/>
          <w:szCs w:val="22"/>
        </w:rPr>
        <w:t xml:space="preserve"> </w:t>
      </w:r>
    </w:p>
    <w:p w:rsidR="00A748B0" w:rsidRDefault="00A748B0" w:rsidP="00823F6A">
      <w:pPr>
        <w:spacing w:after="200"/>
        <w:jc w:val="both"/>
        <w:rPr>
          <w:sz w:val="22"/>
          <w:szCs w:val="22"/>
        </w:rPr>
      </w:pPr>
      <w:r w:rsidRPr="007B1BF1">
        <w:rPr>
          <w:sz w:val="22"/>
          <w:szCs w:val="22"/>
        </w:rPr>
        <w:t>Smoking remains the leading cause of preventable death and disease in England. Smoking in pregnancy is a major contributor to higher infant mortality in the routine and manual socio-economic group. Doncaster has chosen to incorporate smoking cessation services for pregnant and post natal women into the 0-5 Healthy Child pathway. This integrated model sees specialist stop smoking advisors sitting alongside and working with Health Visiting teams</w:t>
      </w:r>
      <w:r w:rsidR="00A57069">
        <w:rPr>
          <w:sz w:val="22"/>
          <w:szCs w:val="22"/>
        </w:rPr>
        <w:t>.</w:t>
      </w:r>
    </w:p>
    <w:p w:rsidR="00180A55" w:rsidRDefault="00180A55" w:rsidP="00823F6A">
      <w:pPr>
        <w:spacing w:after="200"/>
        <w:jc w:val="both"/>
        <w:rPr>
          <w:i/>
          <w:sz w:val="22"/>
          <w:szCs w:val="22"/>
        </w:rPr>
      </w:pPr>
      <w:r w:rsidRPr="00180A55">
        <w:rPr>
          <w:i/>
          <w:sz w:val="22"/>
          <w:szCs w:val="22"/>
        </w:rPr>
        <w:t>The Outcomes</w:t>
      </w:r>
    </w:p>
    <w:p w:rsidR="005C3BA5" w:rsidRPr="00700680" w:rsidRDefault="001A1093" w:rsidP="00823F6A">
      <w:pPr>
        <w:pStyle w:val="ListParagraph"/>
        <w:numPr>
          <w:ilvl w:val="0"/>
          <w:numId w:val="11"/>
        </w:numPr>
        <w:spacing w:line="240" w:lineRule="auto"/>
        <w:jc w:val="both"/>
        <w:rPr>
          <w:rFonts w:ascii="Arial" w:hAnsi="Arial" w:cs="Arial"/>
          <w:i/>
        </w:rPr>
      </w:pPr>
      <w:r w:rsidRPr="00700680">
        <w:rPr>
          <w:rFonts w:ascii="Arial" w:hAnsi="Arial" w:cs="Arial"/>
        </w:rPr>
        <w:t xml:space="preserve">Reduction in </w:t>
      </w:r>
      <w:r w:rsidR="005C3BA5" w:rsidRPr="00700680">
        <w:rPr>
          <w:rFonts w:ascii="Arial" w:hAnsi="Arial" w:cs="Arial"/>
        </w:rPr>
        <w:t>infant mortality</w:t>
      </w:r>
    </w:p>
    <w:p w:rsidR="001A1093" w:rsidRPr="00700680" w:rsidRDefault="001A1093" w:rsidP="00823F6A">
      <w:pPr>
        <w:pStyle w:val="ListParagraph"/>
        <w:numPr>
          <w:ilvl w:val="0"/>
          <w:numId w:val="11"/>
        </w:numPr>
        <w:spacing w:line="240" w:lineRule="auto"/>
        <w:jc w:val="both"/>
        <w:rPr>
          <w:rFonts w:ascii="Arial" w:hAnsi="Arial" w:cs="Arial"/>
          <w:i/>
        </w:rPr>
      </w:pPr>
      <w:r w:rsidRPr="00700680">
        <w:rPr>
          <w:rFonts w:ascii="Arial" w:hAnsi="Arial" w:cs="Arial"/>
        </w:rPr>
        <w:t>reduction in smoking status at time of delivery</w:t>
      </w:r>
    </w:p>
    <w:p w:rsidR="001A1093" w:rsidRPr="00700680" w:rsidRDefault="004F2DB8" w:rsidP="00823F6A">
      <w:pPr>
        <w:pStyle w:val="ListParagraph"/>
        <w:numPr>
          <w:ilvl w:val="0"/>
          <w:numId w:val="11"/>
        </w:numPr>
        <w:spacing w:line="240" w:lineRule="auto"/>
        <w:jc w:val="both"/>
        <w:rPr>
          <w:rFonts w:ascii="Arial" w:hAnsi="Arial" w:cs="Arial"/>
          <w:i/>
        </w:rPr>
      </w:pPr>
      <w:r>
        <w:rPr>
          <w:rFonts w:ascii="Arial" w:hAnsi="Arial" w:cs="Arial"/>
        </w:rPr>
        <w:t>Increase in b</w:t>
      </w:r>
      <w:r w:rsidR="001A1093" w:rsidRPr="00700680">
        <w:rPr>
          <w:rFonts w:ascii="Arial" w:hAnsi="Arial" w:cs="Arial"/>
        </w:rPr>
        <w:t>reast feeding prevalence at 6-8 weeks after birth</w:t>
      </w:r>
    </w:p>
    <w:p w:rsidR="001A1093" w:rsidRPr="00700680" w:rsidRDefault="004F2DB8" w:rsidP="00823F6A">
      <w:pPr>
        <w:pStyle w:val="ListParagraph"/>
        <w:numPr>
          <w:ilvl w:val="0"/>
          <w:numId w:val="11"/>
        </w:numPr>
        <w:spacing w:line="240" w:lineRule="auto"/>
        <w:jc w:val="both"/>
        <w:rPr>
          <w:rFonts w:ascii="Arial" w:hAnsi="Arial" w:cs="Arial"/>
          <w:i/>
        </w:rPr>
      </w:pPr>
      <w:r>
        <w:rPr>
          <w:rFonts w:ascii="Arial" w:hAnsi="Arial" w:cs="Arial"/>
        </w:rPr>
        <w:lastRenderedPageBreak/>
        <w:t>Increase in p</w:t>
      </w:r>
      <w:r w:rsidR="001A1093" w:rsidRPr="00700680">
        <w:rPr>
          <w:rFonts w:ascii="Arial" w:hAnsi="Arial" w:cs="Arial"/>
        </w:rPr>
        <w:t>ercentage of children achieving a good level development at the end of reception.</w:t>
      </w:r>
    </w:p>
    <w:p w:rsidR="00180A55" w:rsidRDefault="00180A55" w:rsidP="00823F6A">
      <w:pPr>
        <w:spacing w:after="200"/>
        <w:jc w:val="both"/>
        <w:rPr>
          <w:i/>
          <w:sz w:val="22"/>
          <w:szCs w:val="22"/>
        </w:rPr>
      </w:pPr>
      <w:r w:rsidRPr="00180A55">
        <w:rPr>
          <w:i/>
          <w:sz w:val="22"/>
          <w:szCs w:val="22"/>
        </w:rPr>
        <w:t>The Proposed Action</w:t>
      </w:r>
      <w:r w:rsidR="001A1093">
        <w:rPr>
          <w:i/>
          <w:sz w:val="22"/>
          <w:szCs w:val="22"/>
        </w:rPr>
        <w:t>s</w:t>
      </w:r>
    </w:p>
    <w:p w:rsidR="005C3BA5" w:rsidRDefault="005C3BA5" w:rsidP="00823F6A">
      <w:pPr>
        <w:spacing w:after="200"/>
        <w:jc w:val="both"/>
        <w:rPr>
          <w:sz w:val="22"/>
        </w:rPr>
      </w:pPr>
      <w:r w:rsidRPr="005C3BA5">
        <w:rPr>
          <w:sz w:val="22"/>
        </w:rPr>
        <w:t>The service will lead and co-ordinate local delivery of the Healthy Child Programme 0-5 requirements using the 4-5-6 model for Health Visiting, with a focus on the 6 High Impact Areas to support delivery (</w:t>
      </w:r>
      <w:r>
        <w:rPr>
          <w:sz w:val="22"/>
        </w:rPr>
        <w:t xml:space="preserve">Figure </w:t>
      </w:r>
      <w:r w:rsidR="000A1B52">
        <w:rPr>
          <w:sz w:val="22"/>
        </w:rPr>
        <w:t>8</w:t>
      </w:r>
      <w:r w:rsidRPr="005C3BA5">
        <w:rPr>
          <w:sz w:val="22"/>
        </w:rPr>
        <w:t>).</w:t>
      </w:r>
    </w:p>
    <w:p w:rsidR="005C3BA5" w:rsidRDefault="005C3BA5" w:rsidP="005C3BA5">
      <w:pPr>
        <w:rPr>
          <w:sz w:val="22"/>
        </w:rPr>
      </w:pPr>
    </w:p>
    <w:p w:rsidR="008B5459" w:rsidRDefault="008B5459">
      <w:pPr>
        <w:overflowPunct/>
        <w:autoSpaceDE/>
        <w:autoSpaceDN/>
        <w:adjustRightInd/>
        <w:textAlignment w:val="auto"/>
        <w:rPr>
          <w:rFonts w:eastAsia="Calibri" w:cstheme="minorHAnsi"/>
          <w:b/>
          <w:noProof/>
          <w:lang w:eastAsia="en-GB"/>
        </w:rPr>
      </w:pPr>
    </w:p>
    <w:p w:rsidR="005C3BA5" w:rsidRDefault="005C3BA5" w:rsidP="005C3BA5">
      <w:pPr>
        <w:rPr>
          <w:rFonts w:eastAsia="Calibri" w:cstheme="minorHAnsi"/>
          <w:noProof/>
          <w:lang w:eastAsia="en-GB"/>
        </w:rPr>
      </w:pPr>
      <w:r w:rsidRPr="008B5459">
        <w:rPr>
          <w:rFonts w:eastAsia="Calibri" w:cstheme="minorHAnsi"/>
          <w:b/>
          <w:noProof/>
          <w:lang w:eastAsia="en-GB"/>
        </w:rPr>
        <w:t xml:space="preserve">Figure </w:t>
      </w:r>
      <w:r w:rsidR="000A1B52">
        <w:rPr>
          <w:rFonts w:eastAsia="Calibri" w:cstheme="minorHAnsi"/>
          <w:b/>
          <w:noProof/>
          <w:lang w:eastAsia="en-GB"/>
        </w:rPr>
        <w:t>8</w:t>
      </w:r>
      <w:r w:rsidRPr="008B5459">
        <w:rPr>
          <w:rFonts w:eastAsia="Calibri" w:cstheme="minorHAnsi"/>
          <w:b/>
          <w:noProof/>
          <w:lang w:eastAsia="en-GB"/>
        </w:rPr>
        <w:t>:</w:t>
      </w:r>
      <w:r w:rsidRPr="00D63C97">
        <w:rPr>
          <w:rFonts w:eastAsia="Calibri" w:cstheme="minorHAnsi"/>
          <w:noProof/>
          <w:lang w:eastAsia="en-GB"/>
        </w:rPr>
        <w:t xml:space="preserve"> Health Visiting 4-5-6 model</w:t>
      </w:r>
    </w:p>
    <w:p w:rsidR="005C3BA5" w:rsidRPr="00D63C97" w:rsidRDefault="005C3BA5" w:rsidP="005C3BA5">
      <w:pPr>
        <w:rPr>
          <w:rFonts w:ascii="Calibri" w:eastAsia="Calibri" w:hAnsi="Calibri"/>
        </w:rPr>
      </w:pPr>
      <w:r w:rsidRPr="00051C62">
        <w:rPr>
          <w:rFonts w:ascii="Calibri" w:eastAsia="Calibri" w:hAnsi="Calibri"/>
          <w:noProof/>
          <w:lang w:val="en-GB" w:eastAsia="en-GB"/>
        </w:rPr>
        <w:drawing>
          <wp:inline distT="0" distB="0" distL="0" distR="0" wp14:anchorId="13517279" wp14:editId="36A1522A">
            <wp:extent cx="4237336" cy="576051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37902" cy="5761281"/>
                    </a:xfrm>
                    <a:prstGeom prst="rect">
                      <a:avLst/>
                    </a:prstGeom>
                    <a:noFill/>
                    <a:ln>
                      <a:noFill/>
                    </a:ln>
                    <a:effectLst/>
                  </pic:spPr>
                </pic:pic>
              </a:graphicData>
            </a:graphic>
          </wp:inline>
        </w:drawing>
      </w:r>
    </w:p>
    <w:p w:rsidR="005C3BA5" w:rsidRPr="005C3BA5" w:rsidRDefault="005C3BA5" w:rsidP="005C3BA5">
      <w:pPr>
        <w:rPr>
          <w:sz w:val="22"/>
        </w:rPr>
      </w:pPr>
    </w:p>
    <w:p w:rsidR="005C3BA5" w:rsidRDefault="005C3BA5" w:rsidP="00823F6A">
      <w:pPr>
        <w:spacing w:after="200" w:line="276" w:lineRule="auto"/>
        <w:jc w:val="both"/>
        <w:rPr>
          <w:sz w:val="22"/>
        </w:rPr>
      </w:pPr>
      <w:r w:rsidRPr="005C3BA5">
        <w:rPr>
          <w:sz w:val="22"/>
        </w:rPr>
        <w:t xml:space="preserve">The universal Healthy Child Programme will be delivered through assessment of need by appropriately qualified staff; health promotion; engagement in health education </w:t>
      </w:r>
      <w:proofErr w:type="spellStart"/>
      <w:r w:rsidRPr="005C3BA5">
        <w:rPr>
          <w:sz w:val="22"/>
        </w:rPr>
        <w:t>programmes</w:t>
      </w:r>
      <w:proofErr w:type="spellEnd"/>
      <w:r w:rsidRPr="005C3BA5">
        <w:rPr>
          <w:sz w:val="22"/>
        </w:rPr>
        <w:t>; involvement in key public health priority interventions and communities; and delivery of evidenced-based assessments and interventions.</w:t>
      </w:r>
    </w:p>
    <w:p w:rsidR="005C3BA5" w:rsidRPr="005C3BA5" w:rsidRDefault="005C3BA5" w:rsidP="00823F6A">
      <w:pPr>
        <w:spacing w:after="200" w:line="276" w:lineRule="auto"/>
        <w:jc w:val="both"/>
        <w:rPr>
          <w:sz w:val="22"/>
        </w:rPr>
      </w:pPr>
    </w:p>
    <w:p w:rsidR="005C3BA5" w:rsidRPr="005C3BA5" w:rsidRDefault="005C3BA5" w:rsidP="00823F6A">
      <w:pPr>
        <w:spacing w:after="200" w:line="276" w:lineRule="auto"/>
        <w:jc w:val="both"/>
        <w:rPr>
          <w:sz w:val="22"/>
        </w:rPr>
      </w:pPr>
      <w:r w:rsidRPr="005C3BA5">
        <w:rPr>
          <w:sz w:val="22"/>
        </w:rPr>
        <w:lastRenderedPageBreak/>
        <w:t xml:space="preserve">The service approach should be to build on resilience, strengths and protective factors to improve autonomy and self-efficacy based on best evidence of child and adolescent development, </w:t>
      </w:r>
      <w:proofErr w:type="spellStart"/>
      <w:r w:rsidRPr="005C3BA5">
        <w:rPr>
          <w:sz w:val="22"/>
        </w:rPr>
        <w:t>recognising</w:t>
      </w:r>
      <w:proofErr w:type="spellEnd"/>
      <w:r w:rsidRPr="005C3BA5">
        <w:rPr>
          <w:sz w:val="22"/>
        </w:rPr>
        <w:t xml:space="preserve"> the context of family life and how to influence the family to support the outcomes for children</w:t>
      </w:r>
      <w:r w:rsidR="00A57069">
        <w:rPr>
          <w:sz w:val="22"/>
        </w:rPr>
        <w:t>.</w:t>
      </w:r>
    </w:p>
    <w:p w:rsidR="000613F5" w:rsidRPr="00180A55" w:rsidRDefault="000613F5" w:rsidP="00061782">
      <w:pPr>
        <w:rPr>
          <w:i/>
          <w:sz w:val="22"/>
          <w:szCs w:val="22"/>
        </w:rPr>
      </w:pPr>
    </w:p>
    <w:p w:rsidR="00180A55" w:rsidRDefault="00180A55" w:rsidP="00061782">
      <w:pPr>
        <w:rPr>
          <w:i/>
          <w:sz w:val="22"/>
          <w:szCs w:val="22"/>
        </w:rPr>
      </w:pPr>
      <w:r w:rsidRPr="00180A55">
        <w:rPr>
          <w:i/>
          <w:sz w:val="22"/>
          <w:szCs w:val="22"/>
        </w:rPr>
        <w:t>The Financial Impacts</w:t>
      </w:r>
    </w:p>
    <w:p w:rsidR="00700680" w:rsidRDefault="00700680" w:rsidP="00061782">
      <w:pPr>
        <w:rPr>
          <w:i/>
          <w:sz w:val="22"/>
          <w:szCs w:val="22"/>
        </w:rPr>
      </w:pPr>
    </w:p>
    <w:p w:rsidR="00700680" w:rsidRPr="00700680" w:rsidRDefault="000A1B52" w:rsidP="00061782">
      <w:pPr>
        <w:rPr>
          <w:sz w:val="22"/>
          <w:szCs w:val="22"/>
        </w:rPr>
      </w:pPr>
      <w:r>
        <w:rPr>
          <w:b/>
          <w:sz w:val="22"/>
          <w:szCs w:val="22"/>
        </w:rPr>
        <w:t xml:space="preserve">Table </w:t>
      </w:r>
      <w:r w:rsidR="00961995">
        <w:rPr>
          <w:b/>
          <w:sz w:val="22"/>
          <w:szCs w:val="22"/>
        </w:rPr>
        <w:t>6</w:t>
      </w:r>
      <w:r w:rsidR="00700680" w:rsidRPr="00700680">
        <w:rPr>
          <w:b/>
          <w:sz w:val="22"/>
          <w:szCs w:val="22"/>
        </w:rPr>
        <w:t>:</w:t>
      </w:r>
      <w:r w:rsidR="00700680">
        <w:rPr>
          <w:sz w:val="22"/>
          <w:szCs w:val="22"/>
        </w:rPr>
        <w:t xml:space="preserve"> 0-5 Public Health Service</w:t>
      </w:r>
    </w:p>
    <w:p w:rsidR="00180A55" w:rsidRPr="00180A55" w:rsidRDefault="00180A55" w:rsidP="00061782">
      <w:pPr>
        <w:rPr>
          <w:i/>
          <w:sz w:val="22"/>
          <w:szCs w:val="22"/>
        </w:rPr>
      </w:pPr>
    </w:p>
    <w:tbl>
      <w:tblPr>
        <w:tblW w:w="6658" w:type="dxa"/>
        <w:tblInd w:w="93" w:type="dxa"/>
        <w:tblLook w:val="04A0" w:firstRow="1" w:lastRow="0" w:firstColumn="1" w:lastColumn="0" w:noHBand="0" w:noVBand="1"/>
      </w:tblPr>
      <w:tblGrid>
        <w:gridCol w:w="1858"/>
        <w:gridCol w:w="1195"/>
        <w:gridCol w:w="1215"/>
        <w:gridCol w:w="1195"/>
        <w:gridCol w:w="1195"/>
      </w:tblGrid>
      <w:tr w:rsidR="0076651B" w:rsidRPr="00A748B0" w:rsidTr="0076651B">
        <w:trPr>
          <w:trHeight w:val="358"/>
        </w:trPr>
        <w:tc>
          <w:tcPr>
            <w:tcW w:w="1858"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76651B" w:rsidRPr="00A748B0" w:rsidRDefault="0076651B" w:rsidP="00A748B0">
            <w:pPr>
              <w:overflowPunct/>
              <w:autoSpaceDE/>
              <w:autoSpaceDN/>
              <w:adjustRightInd/>
              <w:textAlignment w:val="auto"/>
              <w:rPr>
                <w:rFonts w:cs="Arial"/>
                <w:b/>
                <w:bCs/>
                <w:color w:val="000000"/>
                <w:sz w:val="22"/>
                <w:szCs w:val="22"/>
                <w:lang w:val="en-GB" w:eastAsia="en-GB"/>
              </w:rPr>
            </w:pPr>
            <w:r w:rsidRPr="00A748B0">
              <w:rPr>
                <w:rFonts w:cs="Arial"/>
                <w:b/>
                <w:bCs/>
                <w:color w:val="000000"/>
                <w:sz w:val="22"/>
                <w:szCs w:val="22"/>
                <w:lang w:val="en-GB" w:eastAsia="en-GB"/>
              </w:rPr>
              <w:t>Public Health Services</w:t>
            </w:r>
          </w:p>
        </w:tc>
        <w:tc>
          <w:tcPr>
            <w:tcW w:w="1195" w:type="dxa"/>
            <w:tcBorders>
              <w:top w:val="single" w:sz="4" w:space="0" w:color="000000"/>
              <w:left w:val="single" w:sz="4" w:space="0" w:color="auto"/>
              <w:bottom w:val="single" w:sz="4" w:space="0" w:color="000000"/>
              <w:right w:val="single" w:sz="4" w:space="0" w:color="auto"/>
            </w:tcBorders>
            <w:vAlign w:val="bottom"/>
          </w:tcPr>
          <w:p w:rsidR="0076651B" w:rsidRPr="00A748B0" w:rsidRDefault="0076651B" w:rsidP="001121EB">
            <w:pPr>
              <w:overflowPunct/>
              <w:autoSpaceDE/>
              <w:autoSpaceDN/>
              <w:adjustRightInd/>
              <w:jc w:val="right"/>
              <w:textAlignment w:val="auto"/>
              <w:rPr>
                <w:rFonts w:cs="Arial"/>
                <w:b/>
                <w:bCs/>
                <w:color w:val="000000"/>
                <w:sz w:val="22"/>
                <w:szCs w:val="22"/>
                <w:lang w:val="en-GB" w:eastAsia="en-GB"/>
              </w:rPr>
            </w:pPr>
            <w:r>
              <w:rPr>
                <w:rFonts w:cs="Arial"/>
                <w:b/>
                <w:bCs/>
                <w:color w:val="000000"/>
                <w:sz w:val="22"/>
                <w:szCs w:val="22"/>
                <w:lang w:val="en-GB" w:eastAsia="en-GB"/>
              </w:rPr>
              <w:t>2017/18</w:t>
            </w:r>
          </w:p>
        </w:tc>
        <w:tc>
          <w:tcPr>
            <w:tcW w:w="1215" w:type="dxa"/>
            <w:tcBorders>
              <w:top w:val="single" w:sz="4" w:space="0" w:color="000000"/>
              <w:left w:val="single" w:sz="4" w:space="0" w:color="auto"/>
              <w:bottom w:val="single" w:sz="4" w:space="0" w:color="000000"/>
              <w:right w:val="nil"/>
            </w:tcBorders>
            <w:shd w:val="clear" w:color="auto" w:fill="auto"/>
            <w:noWrap/>
            <w:vAlign w:val="bottom"/>
            <w:hideMark/>
          </w:tcPr>
          <w:p w:rsidR="0076651B" w:rsidRPr="00A748B0" w:rsidRDefault="0076651B" w:rsidP="00A748B0">
            <w:pPr>
              <w:overflowPunct/>
              <w:autoSpaceDE/>
              <w:autoSpaceDN/>
              <w:adjustRightInd/>
              <w:jc w:val="right"/>
              <w:textAlignment w:val="auto"/>
              <w:rPr>
                <w:rFonts w:cs="Arial"/>
                <w:b/>
                <w:bCs/>
                <w:color w:val="000000"/>
                <w:sz w:val="22"/>
                <w:szCs w:val="22"/>
                <w:lang w:val="en-GB" w:eastAsia="en-GB"/>
              </w:rPr>
            </w:pPr>
            <w:r w:rsidRPr="00A748B0">
              <w:rPr>
                <w:rFonts w:cs="Arial"/>
                <w:b/>
                <w:bCs/>
                <w:color w:val="000000"/>
                <w:sz w:val="22"/>
                <w:szCs w:val="22"/>
                <w:lang w:val="en-GB" w:eastAsia="en-GB"/>
              </w:rPr>
              <w:t>2018/19</w:t>
            </w:r>
          </w:p>
        </w:tc>
        <w:tc>
          <w:tcPr>
            <w:tcW w:w="1195" w:type="dxa"/>
            <w:tcBorders>
              <w:top w:val="single" w:sz="4" w:space="0" w:color="000000"/>
              <w:left w:val="nil"/>
              <w:bottom w:val="single" w:sz="4" w:space="0" w:color="000000"/>
              <w:right w:val="nil"/>
            </w:tcBorders>
            <w:shd w:val="clear" w:color="auto" w:fill="auto"/>
            <w:noWrap/>
            <w:vAlign w:val="bottom"/>
            <w:hideMark/>
          </w:tcPr>
          <w:p w:rsidR="0076651B" w:rsidRPr="00A748B0" w:rsidRDefault="0076651B" w:rsidP="00A748B0">
            <w:pPr>
              <w:overflowPunct/>
              <w:autoSpaceDE/>
              <w:autoSpaceDN/>
              <w:adjustRightInd/>
              <w:jc w:val="right"/>
              <w:textAlignment w:val="auto"/>
              <w:rPr>
                <w:rFonts w:cs="Arial"/>
                <w:b/>
                <w:bCs/>
                <w:color w:val="000000"/>
                <w:sz w:val="22"/>
                <w:szCs w:val="22"/>
                <w:lang w:val="en-GB" w:eastAsia="en-GB"/>
              </w:rPr>
            </w:pPr>
            <w:r w:rsidRPr="00A748B0">
              <w:rPr>
                <w:rFonts w:cs="Arial"/>
                <w:b/>
                <w:bCs/>
                <w:color w:val="000000"/>
                <w:sz w:val="22"/>
                <w:szCs w:val="22"/>
                <w:lang w:val="en-GB" w:eastAsia="en-GB"/>
              </w:rPr>
              <w:t>2019/20</w:t>
            </w:r>
          </w:p>
        </w:tc>
        <w:tc>
          <w:tcPr>
            <w:tcW w:w="1195" w:type="dxa"/>
            <w:tcBorders>
              <w:top w:val="single" w:sz="4" w:space="0" w:color="000000"/>
              <w:left w:val="nil"/>
              <w:bottom w:val="single" w:sz="4" w:space="0" w:color="000000"/>
              <w:right w:val="single" w:sz="4" w:space="0" w:color="auto"/>
            </w:tcBorders>
            <w:shd w:val="clear" w:color="auto" w:fill="auto"/>
            <w:noWrap/>
            <w:vAlign w:val="bottom"/>
            <w:hideMark/>
          </w:tcPr>
          <w:p w:rsidR="0076651B" w:rsidRPr="00A748B0" w:rsidRDefault="0076651B" w:rsidP="00A748B0">
            <w:pPr>
              <w:overflowPunct/>
              <w:autoSpaceDE/>
              <w:autoSpaceDN/>
              <w:adjustRightInd/>
              <w:jc w:val="right"/>
              <w:textAlignment w:val="auto"/>
              <w:rPr>
                <w:rFonts w:cs="Arial"/>
                <w:b/>
                <w:bCs/>
                <w:color w:val="000000"/>
                <w:sz w:val="22"/>
                <w:szCs w:val="22"/>
                <w:lang w:val="en-GB" w:eastAsia="en-GB"/>
              </w:rPr>
            </w:pPr>
            <w:r w:rsidRPr="00A748B0">
              <w:rPr>
                <w:rFonts w:cs="Arial"/>
                <w:b/>
                <w:bCs/>
                <w:color w:val="000000"/>
                <w:sz w:val="22"/>
                <w:szCs w:val="22"/>
                <w:lang w:val="en-GB" w:eastAsia="en-GB"/>
              </w:rPr>
              <w:t>2020/21</w:t>
            </w:r>
          </w:p>
        </w:tc>
      </w:tr>
      <w:tr w:rsidR="0076651B" w:rsidRPr="00A748B0" w:rsidTr="0076651B">
        <w:trPr>
          <w:trHeight w:val="358"/>
        </w:trPr>
        <w:tc>
          <w:tcPr>
            <w:tcW w:w="1858" w:type="dxa"/>
            <w:tcBorders>
              <w:top w:val="single" w:sz="4" w:space="0" w:color="000000"/>
              <w:left w:val="single" w:sz="4" w:space="0" w:color="auto"/>
              <w:bottom w:val="single" w:sz="4" w:space="0" w:color="auto"/>
              <w:right w:val="single" w:sz="4" w:space="0" w:color="auto"/>
            </w:tcBorders>
            <w:shd w:val="clear" w:color="auto" w:fill="auto"/>
            <w:vAlign w:val="bottom"/>
            <w:hideMark/>
          </w:tcPr>
          <w:p w:rsidR="0076651B" w:rsidRPr="00A748B0" w:rsidRDefault="0076651B" w:rsidP="00A748B0">
            <w:pPr>
              <w:overflowPunct/>
              <w:autoSpaceDE/>
              <w:autoSpaceDN/>
              <w:adjustRightInd/>
              <w:textAlignment w:val="auto"/>
              <w:rPr>
                <w:rFonts w:cs="Arial"/>
                <w:color w:val="000000"/>
                <w:sz w:val="22"/>
                <w:szCs w:val="22"/>
                <w:lang w:val="en-GB" w:eastAsia="en-GB"/>
              </w:rPr>
            </w:pPr>
            <w:r w:rsidRPr="00A748B0">
              <w:rPr>
                <w:rFonts w:cs="Arial"/>
                <w:color w:val="000000"/>
                <w:sz w:val="22"/>
                <w:szCs w:val="22"/>
                <w:lang w:val="en-GB" w:eastAsia="en-GB"/>
              </w:rPr>
              <w:t>0-5 Services</w:t>
            </w:r>
          </w:p>
        </w:tc>
        <w:tc>
          <w:tcPr>
            <w:tcW w:w="1195" w:type="dxa"/>
            <w:tcBorders>
              <w:top w:val="single" w:sz="4" w:space="0" w:color="000000"/>
              <w:left w:val="single" w:sz="4" w:space="0" w:color="auto"/>
              <w:bottom w:val="single" w:sz="4" w:space="0" w:color="auto"/>
              <w:right w:val="single" w:sz="4" w:space="0" w:color="auto"/>
            </w:tcBorders>
            <w:vAlign w:val="bottom"/>
          </w:tcPr>
          <w:p w:rsidR="0076651B" w:rsidRPr="00A748B0" w:rsidRDefault="0076651B" w:rsidP="001121EB">
            <w:pPr>
              <w:overflowPunct/>
              <w:autoSpaceDE/>
              <w:autoSpaceDN/>
              <w:adjustRightInd/>
              <w:jc w:val="right"/>
              <w:textAlignment w:val="auto"/>
              <w:rPr>
                <w:rFonts w:cs="Arial"/>
                <w:color w:val="000000"/>
                <w:sz w:val="22"/>
                <w:szCs w:val="22"/>
                <w:lang w:val="en-GB" w:eastAsia="en-GB"/>
              </w:rPr>
            </w:pPr>
            <w:r w:rsidRPr="001121EB">
              <w:rPr>
                <w:sz w:val="22"/>
                <w:szCs w:val="22"/>
              </w:rPr>
              <w:t>6,771,000</w:t>
            </w:r>
          </w:p>
        </w:tc>
        <w:tc>
          <w:tcPr>
            <w:tcW w:w="1215" w:type="dxa"/>
            <w:tcBorders>
              <w:top w:val="single" w:sz="4" w:space="0" w:color="000000"/>
              <w:left w:val="single" w:sz="4" w:space="0" w:color="auto"/>
              <w:bottom w:val="single" w:sz="4" w:space="0" w:color="auto"/>
              <w:right w:val="nil"/>
            </w:tcBorders>
            <w:shd w:val="clear" w:color="auto" w:fill="auto"/>
            <w:noWrap/>
            <w:vAlign w:val="bottom"/>
            <w:hideMark/>
          </w:tcPr>
          <w:p w:rsidR="0076651B" w:rsidRPr="00A748B0" w:rsidRDefault="0076651B" w:rsidP="00A748B0">
            <w:pPr>
              <w:overflowPunct/>
              <w:autoSpaceDE/>
              <w:autoSpaceDN/>
              <w:adjustRightInd/>
              <w:jc w:val="right"/>
              <w:textAlignment w:val="auto"/>
              <w:rPr>
                <w:rFonts w:cs="Arial"/>
                <w:color w:val="000000"/>
                <w:sz w:val="22"/>
                <w:szCs w:val="22"/>
                <w:lang w:val="en-GB" w:eastAsia="en-GB"/>
              </w:rPr>
            </w:pPr>
            <w:r w:rsidRPr="00A748B0">
              <w:rPr>
                <w:rFonts w:cs="Arial"/>
                <w:color w:val="000000"/>
                <w:sz w:val="22"/>
                <w:szCs w:val="22"/>
                <w:lang w:val="en-GB" w:eastAsia="en-GB"/>
              </w:rPr>
              <w:t xml:space="preserve">           6,264,675 </w:t>
            </w:r>
          </w:p>
        </w:tc>
        <w:tc>
          <w:tcPr>
            <w:tcW w:w="1195" w:type="dxa"/>
            <w:tcBorders>
              <w:top w:val="single" w:sz="4" w:space="0" w:color="000000"/>
              <w:left w:val="nil"/>
              <w:bottom w:val="single" w:sz="4" w:space="0" w:color="auto"/>
              <w:right w:val="nil"/>
            </w:tcBorders>
            <w:shd w:val="clear" w:color="auto" w:fill="auto"/>
            <w:noWrap/>
            <w:vAlign w:val="bottom"/>
            <w:hideMark/>
          </w:tcPr>
          <w:p w:rsidR="0076651B" w:rsidRPr="00A748B0" w:rsidRDefault="0076651B" w:rsidP="00A748B0">
            <w:pPr>
              <w:overflowPunct/>
              <w:autoSpaceDE/>
              <w:autoSpaceDN/>
              <w:adjustRightInd/>
              <w:jc w:val="right"/>
              <w:textAlignment w:val="auto"/>
              <w:rPr>
                <w:rFonts w:cs="Arial"/>
                <w:color w:val="000000"/>
                <w:sz w:val="22"/>
                <w:szCs w:val="22"/>
                <w:lang w:val="en-GB" w:eastAsia="en-GB"/>
              </w:rPr>
            </w:pPr>
            <w:r w:rsidRPr="00A748B0">
              <w:rPr>
                <w:rFonts w:cs="Arial"/>
                <w:color w:val="000000"/>
                <w:sz w:val="22"/>
                <w:szCs w:val="22"/>
                <w:lang w:val="en-GB" w:eastAsia="en-GB"/>
              </w:rPr>
              <w:t xml:space="preserve">           6,108,562 </w:t>
            </w:r>
          </w:p>
        </w:tc>
        <w:tc>
          <w:tcPr>
            <w:tcW w:w="1195" w:type="dxa"/>
            <w:tcBorders>
              <w:top w:val="single" w:sz="4" w:space="0" w:color="000000"/>
              <w:left w:val="nil"/>
              <w:bottom w:val="single" w:sz="4" w:space="0" w:color="auto"/>
              <w:right w:val="single" w:sz="4" w:space="0" w:color="auto"/>
            </w:tcBorders>
            <w:shd w:val="clear" w:color="auto" w:fill="auto"/>
            <w:noWrap/>
            <w:vAlign w:val="bottom"/>
            <w:hideMark/>
          </w:tcPr>
          <w:p w:rsidR="0076651B" w:rsidRPr="00A748B0" w:rsidRDefault="0076651B" w:rsidP="00A748B0">
            <w:pPr>
              <w:overflowPunct/>
              <w:autoSpaceDE/>
              <w:autoSpaceDN/>
              <w:adjustRightInd/>
              <w:jc w:val="right"/>
              <w:textAlignment w:val="auto"/>
              <w:rPr>
                <w:rFonts w:cs="Arial"/>
                <w:color w:val="000000"/>
                <w:sz w:val="22"/>
                <w:szCs w:val="22"/>
                <w:lang w:val="en-GB" w:eastAsia="en-GB"/>
              </w:rPr>
            </w:pPr>
            <w:r w:rsidRPr="00A748B0">
              <w:rPr>
                <w:rFonts w:cs="Arial"/>
                <w:color w:val="000000"/>
                <w:sz w:val="22"/>
                <w:szCs w:val="22"/>
                <w:lang w:val="en-GB" w:eastAsia="en-GB"/>
              </w:rPr>
              <w:t xml:space="preserve">           5,956,349 </w:t>
            </w:r>
          </w:p>
        </w:tc>
      </w:tr>
    </w:tbl>
    <w:p w:rsidR="00061782" w:rsidRPr="007B1BF1" w:rsidRDefault="00061782" w:rsidP="00061782">
      <w:pPr>
        <w:rPr>
          <w:sz w:val="22"/>
          <w:szCs w:val="22"/>
        </w:rPr>
      </w:pPr>
    </w:p>
    <w:p w:rsidR="00061782" w:rsidRPr="007B1BF1" w:rsidRDefault="00061782" w:rsidP="00061782">
      <w:pPr>
        <w:rPr>
          <w:sz w:val="22"/>
          <w:szCs w:val="22"/>
        </w:rPr>
      </w:pPr>
    </w:p>
    <w:p w:rsidR="00061782" w:rsidRPr="00587E31" w:rsidRDefault="00061782" w:rsidP="00061782">
      <w:pPr>
        <w:rPr>
          <w:b/>
          <w:sz w:val="22"/>
          <w:szCs w:val="22"/>
          <w:u w:val="single"/>
        </w:rPr>
      </w:pPr>
      <w:r w:rsidRPr="00587E31">
        <w:rPr>
          <w:b/>
          <w:sz w:val="22"/>
          <w:szCs w:val="22"/>
          <w:u w:val="single"/>
        </w:rPr>
        <w:t>Infection Prevention and Control Service</w:t>
      </w:r>
    </w:p>
    <w:p w:rsidR="00061782" w:rsidRPr="007B1BF1" w:rsidRDefault="00061782" w:rsidP="00061782">
      <w:pPr>
        <w:rPr>
          <w:sz w:val="22"/>
          <w:szCs w:val="22"/>
        </w:rPr>
      </w:pPr>
    </w:p>
    <w:p w:rsidR="00B42B3F" w:rsidRDefault="00B42B3F" w:rsidP="00B42B3F">
      <w:pPr>
        <w:rPr>
          <w:i/>
          <w:sz w:val="22"/>
          <w:szCs w:val="22"/>
        </w:rPr>
      </w:pPr>
      <w:r>
        <w:rPr>
          <w:i/>
          <w:sz w:val="22"/>
          <w:szCs w:val="22"/>
        </w:rPr>
        <w:t xml:space="preserve">The Description of Service Area: </w:t>
      </w:r>
    </w:p>
    <w:p w:rsidR="001A1093" w:rsidRDefault="001A1093" w:rsidP="00061782">
      <w:pPr>
        <w:rPr>
          <w:sz w:val="22"/>
          <w:szCs w:val="22"/>
        </w:rPr>
      </w:pPr>
    </w:p>
    <w:p w:rsidR="00061782" w:rsidRDefault="00061782" w:rsidP="00823F6A">
      <w:pPr>
        <w:spacing w:after="200" w:line="276" w:lineRule="auto"/>
        <w:jc w:val="both"/>
        <w:rPr>
          <w:sz w:val="22"/>
          <w:szCs w:val="22"/>
        </w:rPr>
      </w:pPr>
      <w:r w:rsidRPr="007B1BF1">
        <w:rPr>
          <w:sz w:val="22"/>
          <w:szCs w:val="22"/>
        </w:rPr>
        <w:t xml:space="preserve">For the citizens of Doncaster, the Infection Prevention and Control Service means that the health of our residents in care homes are protected from infections by ensuring that there is appropriate service in place for preventing infections, and where there </w:t>
      </w:r>
      <w:r>
        <w:rPr>
          <w:sz w:val="22"/>
          <w:szCs w:val="22"/>
        </w:rPr>
        <w:t xml:space="preserve">are </w:t>
      </w:r>
      <w:r w:rsidRPr="007B1BF1">
        <w:rPr>
          <w:sz w:val="22"/>
          <w:szCs w:val="22"/>
        </w:rPr>
        <w:t xml:space="preserve">any infections these are promptly controlled. </w:t>
      </w:r>
      <w:r w:rsidR="00B42B3F">
        <w:rPr>
          <w:sz w:val="22"/>
          <w:szCs w:val="22"/>
        </w:rPr>
        <w:t>The objectives of the service are:</w:t>
      </w:r>
    </w:p>
    <w:p w:rsidR="00B42B3F" w:rsidRDefault="00B42B3F" w:rsidP="00823F6A">
      <w:pPr>
        <w:spacing w:after="200" w:line="276" w:lineRule="auto"/>
        <w:jc w:val="both"/>
        <w:rPr>
          <w:sz w:val="22"/>
          <w:szCs w:val="22"/>
        </w:rPr>
      </w:pPr>
    </w:p>
    <w:p w:rsidR="00B42B3F" w:rsidRPr="00456D3D" w:rsidRDefault="00B42B3F" w:rsidP="00823F6A">
      <w:pPr>
        <w:pStyle w:val="ListParagraph"/>
        <w:numPr>
          <w:ilvl w:val="0"/>
          <w:numId w:val="17"/>
        </w:numPr>
        <w:jc w:val="both"/>
        <w:rPr>
          <w:rFonts w:ascii="Arial" w:hAnsi="Arial" w:cs="Arial"/>
        </w:rPr>
      </w:pPr>
      <w:r w:rsidRPr="00456D3D">
        <w:rPr>
          <w:rFonts w:ascii="Arial" w:hAnsi="Arial" w:cs="Arial"/>
        </w:rPr>
        <w:t>To provide</w:t>
      </w:r>
      <w:r>
        <w:rPr>
          <w:rFonts w:ascii="Arial" w:hAnsi="Arial" w:cs="Arial"/>
        </w:rPr>
        <w:t xml:space="preserve"> expert </w:t>
      </w:r>
      <w:r w:rsidRPr="00456D3D">
        <w:rPr>
          <w:rFonts w:ascii="Arial" w:hAnsi="Arial" w:cs="Arial"/>
        </w:rPr>
        <w:t xml:space="preserve">proactive and reactive infection prevention and control (IPC) </w:t>
      </w:r>
      <w:r>
        <w:rPr>
          <w:rFonts w:ascii="Arial" w:hAnsi="Arial" w:cs="Arial"/>
        </w:rPr>
        <w:t xml:space="preserve">knowledge skill and experiential </w:t>
      </w:r>
      <w:r w:rsidRPr="00456D3D">
        <w:rPr>
          <w:rFonts w:ascii="Arial" w:hAnsi="Arial" w:cs="Arial"/>
        </w:rPr>
        <w:t>support to community health and social care providers.</w:t>
      </w:r>
    </w:p>
    <w:p w:rsidR="00B42B3F" w:rsidRPr="00FE2392" w:rsidRDefault="00B42B3F" w:rsidP="00823F6A">
      <w:pPr>
        <w:pStyle w:val="ListParagraph"/>
        <w:numPr>
          <w:ilvl w:val="0"/>
          <w:numId w:val="17"/>
        </w:numPr>
        <w:jc w:val="both"/>
        <w:rPr>
          <w:rFonts w:ascii="Arial" w:hAnsi="Arial" w:cs="Arial"/>
        </w:rPr>
      </w:pPr>
      <w:r w:rsidRPr="00FE2392">
        <w:rPr>
          <w:rFonts w:ascii="Arial" w:hAnsi="Arial" w:cs="Arial"/>
        </w:rPr>
        <w:t xml:space="preserve">To provide training and support to </w:t>
      </w:r>
      <w:r>
        <w:rPr>
          <w:rFonts w:ascii="Arial" w:hAnsi="Arial" w:cs="Arial"/>
        </w:rPr>
        <w:t xml:space="preserve">develop a group of IPC </w:t>
      </w:r>
      <w:r w:rsidR="002644D6">
        <w:rPr>
          <w:rFonts w:ascii="Arial" w:hAnsi="Arial" w:cs="Arial"/>
        </w:rPr>
        <w:t>champions across care homes</w:t>
      </w:r>
      <w:r>
        <w:rPr>
          <w:rFonts w:ascii="Arial" w:hAnsi="Arial" w:cs="Arial"/>
        </w:rPr>
        <w:t xml:space="preserve">. To support and enable </w:t>
      </w:r>
      <w:r w:rsidRPr="00FE2392">
        <w:rPr>
          <w:rFonts w:ascii="Arial" w:hAnsi="Arial" w:cs="Arial"/>
        </w:rPr>
        <w:t xml:space="preserve">healthcare workers to audit health and social care providers to ensure compliance with </w:t>
      </w:r>
      <w:r w:rsidR="002644D6">
        <w:rPr>
          <w:rFonts w:ascii="Arial" w:hAnsi="Arial" w:cs="Arial"/>
        </w:rPr>
        <w:t>Care Quality Commission (</w:t>
      </w:r>
      <w:r w:rsidRPr="00FE2392">
        <w:rPr>
          <w:rFonts w:ascii="Arial" w:hAnsi="Arial" w:cs="Arial"/>
        </w:rPr>
        <w:t>CQC</w:t>
      </w:r>
      <w:r w:rsidR="002644D6">
        <w:rPr>
          <w:rFonts w:ascii="Arial" w:hAnsi="Arial" w:cs="Arial"/>
        </w:rPr>
        <w:t>)</w:t>
      </w:r>
      <w:r w:rsidRPr="00FE2392">
        <w:rPr>
          <w:rFonts w:ascii="Arial" w:hAnsi="Arial" w:cs="Arial"/>
        </w:rPr>
        <w:t xml:space="preserve"> requirements in relation to infection prevention and control and requirements in DMBC and CCG contracts and service specifications.  </w:t>
      </w:r>
    </w:p>
    <w:p w:rsidR="00B42B3F" w:rsidRPr="00FE2392" w:rsidRDefault="00B42B3F" w:rsidP="00823F6A">
      <w:pPr>
        <w:pStyle w:val="ListParagraph"/>
        <w:numPr>
          <w:ilvl w:val="0"/>
          <w:numId w:val="17"/>
        </w:numPr>
        <w:jc w:val="both"/>
        <w:rPr>
          <w:rFonts w:ascii="Arial" w:hAnsi="Arial" w:cs="Arial"/>
        </w:rPr>
      </w:pPr>
      <w:r>
        <w:rPr>
          <w:rFonts w:ascii="Arial" w:hAnsi="Arial" w:cs="Arial"/>
        </w:rPr>
        <w:t>To provide specialist infection prevention and control guidance to care homes and specialist training for DMBC contract monitoring officers.</w:t>
      </w:r>
    </w:p>
    <w:p w:rsidR="00B42B3F" w:rsidRPr="00456D3D" w:rsidRDefault="00B42B3F" w:rsidP="00823F6A">
      <w:pPr>
        <w:pStyle w:val="ListParagraph"/>
        <w:numPr>
          <w:ilvl w:val="0"/>
          <w:numId w:val="17"/>
        </w:numPr>
        <w:jc w:val="both"/>
        <w:rPr>
          <w:rFonts w:ascii="Arial" w:hAnsi="Arial" w:cs="Arial"/>
        </w:rPr>
      </w:pPr>
      <w:r w:rsidRPr="00456D3D">
        <w:rPr>
          <w:rFonts w:ascii="Arial" w:hAnsi="Arial" w:cs="Arial"/>
        </w:rPr>
        <w:t xml:space="preserve">To </w:t>
      </w:r>
      <w:r>
        <w:rPr>
          <w:rFonts w:ascii="Arial" w:hAnsi="Arial" w:cs="Arial"/>
        </w:rPr>
        <w:t xml:space="preserve">support </w:t>
      </w:r>
      <w:r w:rsidR="002644D6">
        <w:rPr>
          <w:rFonts w:ascii="Arial" w:hAnsi="Arial" w:cs="Arial"/>
        </w:rPr>
        <w:t>Public Health England (</w:t>
      </w:r>
      <w:r>
        <w:rPr>
          <w:rFonts w:ascii="Arial" w:hAnsi="Arial" w:cs="Arial"/>
        </w:rPr>
        <w:t>PHE</w:t>
      </w:r>
      <w:r w:rsidR="002644D6">
        <w:rPr>
          <w:rFonts w:ascii="Arial" w:hAnsi="Arial" w:cs="Arial"/>
        </w:rPr>
        <w:t>) in</w:t>
      </w:r>
      <w:r>
        <w:rPr>
          <w:rFonts w:ascii="Arial" w:hAnsi="Arial" w:cs="Arial"/>
        </w:rPr>
        <w:t xml:space="preserve"> </w:t>
      </w:r>
      <w:r w:rsidRPr="00456D3D">
        <w:rPr>
          <w:rFonts w:ascii="Arial" w:hAnsi="Arial" w:cs="Arial"/>
        </w:rPr>
        <w:t>provid</w:t>
      </w:r>
      <w:r w:rsidR="002644D6">
        <w:rPr>
          <w:rFonts w:ascii="Arial" w:hAnsi="Arial" w:cs="Arial"/>
        </w:rPr>
        <w:t>ing</w:t>
      </w:r>
      <w:r w:rsidRPr="00456D3D">
        <w:rPr>
          <w:rFonts w:ascii="Arial" w:hAnsi="Arial" w:cs="Arial"/>
        </w:rPr>
        <w:t xml:space="preserve"> the local level response to outbreaks o</w:t>
      </w:r>
      <w:r w:rsidR="002644D6">
        <w:rPr>
          <w:rFonts w:ascii="Arial" w:hAnsi="Arial" w:cs="Arial"/>
        </w:rPr>
        <w:t>f</w:t>
      </w:r>
      <w:r w:rsidRPr="00456D3D">
        <w:rPr>
          <w:rFonts w:ascii="Arial" w:hAnsi="Arial" w:cs="Arial"/>
        </w:rPr>
        <w:t xml:space="preserve"> infectious disease under the direction </w:t>
      </w:r>
      <w:r>
        <w:rPr>
          <w:rFonts w:ascii="Arial" w:hAnsi="Arial" w:cs="Arial"/>
        </w:rPr>
        <w:t xml:space="preserve">of </w:t>
      </w:r>
      <w:r w:rsidRPr="00456D3D">
        <w:rPr>
          <w:rFonts w:ascii="Arial" w:hAnsi="Arial" w:cs="Arial"/>
        </w:rPr>
        <w:t xml:space="preserve">Public Health England Health Protection Teams. </w:t>
      </w:r>
    </w:p>
    <w:p w:rsidR="00B42B3F" w:rsidRDefault="00B42B3F" w:rsidP="00823F6A">
      <w:pPr>
        <w:pStyle w:val="ListParagraph"/>
        <w:numPr>
          <w:ilvl w:val="0"/>
          <w:numId w:val="17"/>
        </w:numPr>
        <w:jc w:val="both"/>
        <w:rPr>
          <w:rFonts w:ascii="Arial" w:hAnsi="Arial" w:cs="Arial"/>
        </w:rPr>
      </w:pPr>
      <w:r w:rsidRPr="00456D3D">
        <w:rPr>
          <w:rFonts w:ascii="Arial" w:hAnsi="Arial" w:cs="Arial"/>
        </w:rPr>
        <w:t xml:space="preserve">To conduct Post Infection Review (PIR) for specified cases and to ensure the learning from these processes </w:t>
      </w:r>
      <w:r>
        <w:rPr>
          <w:rFonts w:ascii="Arial" w:hAnsi="Arial" w:cs="Arial"/>
        </w:rPr>
        <w:t>is embedded.</w:t>
      </w:r>
    </w:p>
    <w:p w:rsidR="00B42B3F" w:rsidRDefault="00B42B3F" w:rsidP="00823F6A">
      <w:pPr>
        <w:pStyle w:val="ListParagraph"/>
        <w:numPr>
          <w:ilvl w:val="0"/>
          <w:numId w:val="17"/>
        </w:numPr>
        <w:jc w:val="both"/>
        <w:rPr>
          <w:rFonts w:ascii="Arial" w:hAnsi="Arial" w:cs="Arial"/>
        </w:rPr>
      </w:pPr>
      <w:r>
        <w:rPr>
          <w:rFonts w:ascii="Arial" w:hAnsi="Arial" w:cs="Arial"/>
        </w:rPr>
        <w:t xml:space="preserve">To provide advice on anti-microbial resistant organisms to community health and social care providers within the scope of this contract. </w:t>
      </w:r>
    </w:p>
    <w:p w:rsidR="00B42B3F" w:rsidRPr="00456D3D" w:rsidRDefault="00B42B3F" w:rsidP="00823F6A">
      <w:pPr>
        <w:pStyle w:val="ListParagraph"/>
        <w:numPr>
          <w:ilvl w:val="0"/>
          <w:numId w:val="17"/>
        </w:numPr>
        <w:jc w:val="both"/>
        <w:rPr>
          <w:rFonts w:ascii="Arial" w:hAnsi="Arial" w:cs="Arial"/>
        </w:rPr>
      </w:pPr>
      <w:r>
        <w:rPr>
          <w:rFonts w:ascii="Arial" w:hAnsi="Arial" w:cs="Arial"/>
        </w:rPr>
        <w:t xml:space="preserve">To work with commissioners to provide the information required to scope the need for IPC services in the community. </w:t>
      </w:r>
    </w:p>
    <w:p w:rsidR="00061782" w:rsidRDefault="00061782" w:rsidP="00823F6A">
      <w:pPr>
        <w:spacing w:after="200" w:line="276" w:lineRule="auto"/>
        <w:jc w:val="both"/>
        <w:rPr>
          <w:sz w:val="22"/>
          <w:szCs w:val="22"/>
        </w:rPr>
      </w:pPr>
    </w:p>
    <w:p w:rsidR="001A1093" w:rsidRPr="00B42B3F" w:rsidRDefault="001A1093" w:rsidP="00823F6A">
      <w:pPr>
        <w:spacing w:after="200" w:line="276" w:lineRule="auto"/>
        <w:jc w:val="both"/>
        <w:rPr>
          <w:i/>
          <w:sz w:val="22"/>
          <w:szCs w:val="22"/>
        </w:rPr>
      </w:pPr>
      <w:r w:rsidRPr="00B42B3F">
        <w:rPr>
          <w:i/>
          <w:sz w:val="22"/>
          <w:szCs w:val="22"/>
        </w:rPr>
        <w:t>Outcomes</w:t>
      </w:r>
    </w:p>
    <w:p w:rsidR="00B42B3F" w:rsidRDefault="00B42B3F" w:rsidP="00823F6A">
      <w:pPr>
        <w:spacing w:after="200" w:line="276" w:lineRule="auto"/>
        <w:jc w:val="both"/>
        <w:rPr>
          <w:sz w:val="22"/>
          <w:szCs w:val="22"/>
        </w:rPr>
      </w:pPr>
    </w:p>
    <w:p w:rsidR="00061782" w:rsidRPr="007B1BF1" w:rsidRDefault="00061782" w:rsidP="00823F6A">
      <w:pPr>
        <w:spacing w:after="200" w:line="276" w:lineRule="auto"/>
        <w:jc w:val="both"/>
        <w:rPr>
          <w:sz w:val="22"/>
          <w:szCs w:val="22"/>
        </w:rPr>
      </w:pPr>
      <w:r w:rsidRPr="007B1BF1">
        <w:rPr>
          <w:sz w:val="22"/>
          <w:szCs w:val="22"/>
        </w:rPr>
        <w:t>The service will achieve the following key outcomes for the people of Doncaster:</w:t>
      </w:r>
    </w:p>
    <w:p w:rsidR="00061782" w:rsidRPr="00A5606C" w:rsidRDefault="00061782" w:rsidP="00823F6A">
      <w:pPr>
        <w:pStyle w:val="ListParagraph"/>
        <w:numPr>
          <w:ilvl w:val="0"/>
          <w:numId w:val="8"/>
        </w:numPr>
        <w:jc w:val="both"/>
        <w:rPr>
          <w:rFonts w:ascii="Arial" w:hAnsi="Arial" w:cs="Arial"/>
        </w:rPr>
      </w:pPr>
      <w:r w:rsidRPr="00A5606C">
        <w:rPr>
          <w:rFonts w:ascii="Arial" w:hAnsi="Arial" w:cs="Arial"/>
        </w:rPr>
        <w:t>Reduced incidence of bloodstream infections from bacteria called Methicillin Resistance Staphylococcus Aureus (MRSA)</w:t>
      </w:r>
      <w:r>
        <w:rPr>
          <w:rFonts w:ascii="Arial" w:hAnsi="Arial" w:cs="Arial"/>
        </w:rPr>
        <w:t>;</w:t>
      </w:r>
    </w:p>
    <w:p w:rsidR="00061782" w:rsidRPr="00A5606C" w:rsidRDefault="00061782" w:rsidP="00823F6A">
      <w:pPr>
        <w:pStyle w:val="ListParagraph"/>
        <w:numPr>
          <w:ilvl w:val="0"/>
          <w:numId w:val="8"/>
        </w:numPr>
        <w:jc w:val="both"/>
        <w:rPr>
          <w:rFonts w:ascii="Arial" w:hAnsi="Arial" w:cs="Arial"/>
        </w:rPr>
      </w:pPr>
      <w:r w:rsidRPr="00A5606C">
        <w:rPr>
          <w:rFonts w:ascii="Arial" w:hAnsi="Arial" w:cs="Arial"/>
        </w:rPr>
        <w:t>Reduced incidence of Clostridium Difficile Infection (CDI)</w:t>
      </w:r>
      <w:r>
        <w:rPr>
          <w:rFonts w:ascii="Arial" w:hAnsi="Arial" w:cs="Arial"/>
        </w:rPr>
        <w:t>;</w:t>
      </w:r>
    </w:p>
    <w:p w:rsidR="00061782" w:rsidRPr="00A5606C" w:rsidRDefault="00061782" w:rsidP="00823F6A">
      <w:pPr>
        <w:pStyle w:val="ListParagraph"/>
        <w:numPr>
          <w:ilvl w:val="0"/>
          <w:numId w:val="8"/>
        </w:numPr>
        <w:jc w:val="both"/>
        <w:rPr>
          <w:rFonts w:ascii="Arial" w:hAnsi="Arial" w:cs="Arial"/>
        </w:rPr>
      </w:pPr>
      <w:r w:rsidRPr="00A5606C">
        <w:rPr>
          <w:rFonts w:ascii="Arial" w:hAnsi="Arial" w:cs="Arial"/>
        </w:rPr>
        <w:t>Reduced number of outbreaks of infectious disease</w:t>
      </w:r>
      <w:r w:rsidR="002644D6">
        <w:rPr>
          <w:rFonts w:ascii="Arial" w:hAnsi="Arial" w:cs="Arial"/>
        </w:rPr>
        <w:t>s</w:t>
      </w:r>
      <w:r w:rsidRPr="00A5606C">
        <w:rPr>
          <w:rFonts w:ascii="Arial" w:hAnsi="Arial" w:cs="Arial"/>
        </w:rPr>
        <w:t xml:space="preserve"> in health and social care settings in the community (care homes)</w:t>
      </w:r>
      <w:r>
        <w:rPr>
          <w:rFonts w:ascii="Arial" w:hAnsi="Arial" w:cs="Arial"/>
        </w:rPr>
        <w:t>;</w:t>
      </w:r>
      <w:r w:rsidRPr="00A5606C">
        <w:rPr>
          <w:rFonts w:ascii="Arial" w:hAnsi="Arial" w:cs="Arial"/>
        </w:rPr>
        <w:t xml:space="preserve"> </w:t>
      </w:r>
    </w:p>
    <w:p w:rsidR="00061782" w:rsidRDefault="00061782" w:rsidP="00823F6A">
      <w:pPr>
        <w:pStyle w:val="ListParagraph"/>
        <w:numPr>
          <w:ilvl w:val="0"/>
          <w:numId w:val="8"/>
        </w:numPr>
        <w:jc w:val="both"/>
        <w:rPr>
          <w:rFonts w:ascii="Arial" w:hAnsi="Arial" w:cs="Arial"/>
        </w:rPr>
      </w:pPr>
      <w:r w:rsidRPr="00A5606C">
        <w:rPr>
          <w:rFonts w:ascii="Arial" w:hAnsi="Arial" w:cs="Arial"/>
        </w:rPr>
        <w:t>Better training &amp; education, audit, s</w:t>
      </w:r>
      <w:r>
        <w:rPr>
          <w:rFonts w:ascii="Arial" w:hAnsi="Arial" w:cs="Arial"/>
        </w:rPr>
        <w:t>urveillance (e.g. CDI, MRSA) in</w:t>
      </w:r>
      <w:r w:rsidRPr="00A5606C">
        <w:rPr>
          <w:rFonts w:ascii="Arial" w:hAnsi="Arial" w:cs="Arial"/>
        </w:rPr>
        <w:t xml:space="preserve"> the community including care homes. </w:t>
      </w:r>
    </w:p>
    <w:p w:rsidR="000613F5" w:rsidRDefault="000613F5" w:rsidP="00B42B3F">
      <w:pPr>
        <w:rPr>
          <w:i/>
          <w:sz w:val="22"/>
        </w:rPr>
      </w:pPr>
    </w:p>
    <w:p w:rsidR="000613F5" w:rsidRDefault="000613F5" w:rsidP="00B42B3F">
      <w:pPr>
        <w:rPr>
          <w:i/>
          <w:sz w:val="22"/>
        </w:rPr>
      </w:pPr>
    </w:p>
    <w:p w:rsidR="00B42B3F" w:rsidRPr="00DF2A7D" w:rsidRDefault="00B42B3F" w:rsidP="00B42B3F">
      <w:pPr>
        <w:rPr>
          <w:i/>
          <w:sz w:val="22"/>
        </w:rPr>
      </w:pPr>
      <w:r w:rsidRPr="00DF2A7D">
        <w:rPr>
          <w:i/>
          <w:sz w:val="22"/>
        </w:rPr>
        <w:t>The Proposed Actions</w:t>
      </w:r>
    </w:p>
    <w:p w:rsidR="00B42B3F" w:rsidRDefault="00B42B3F" w:rsidP="00B42B3F">
      <w:pPr>
        <w:rPr>
          <w:rFonts w:cs="Arial"/>
        </w:rPr>
      </w:pPr>
    </w:p>
    <w:p w:rsidR="00B42B3F" w:rsidRPr="002644D6" w:rsidRDefault="00700680" w:rsidP="00B42B3F">
      <w:pPr>
        <w:rPr>
          <w:sz w:val="22"/>
        </w:rPr>
      </w:pPr>
      <w:r w:rsidRPr="002644D6">
        <w:rPr>
          <w:b/>
          <w:sz w:val="22"/>
        </w:rPr>
        <w:t xml:space="preserve">Table </w:t>
      </w:r>
      <w:r w:rsidR="00961995">
        <w:rPr>
          <w:b/>
          <w:sz w:val="22"/>
        </w:rPr>
        <w:t>7</w:t>
      </w:r>
      <w:r w:rsidRPr="002644D6">
        <w:rPr>
          <w:b/>
          <w:sz w:val="22"/>
        </w:rPr>
        <w:t>:</w:t>
      </w:r>
      <w:r w:rsidRPr="002644D6">
        <w:rPr>
          <w:sz w:val="22"/>
        </w:rPr>
        <w:t xml:space="preserve"> Service activities for infection prevention and control</w:t>
      </w:r>
    </w:p>
    <w:tbl>
      <w:tblPr>
        <w:tblW w:w="92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433"/>
      </w:tblGrid>
      <w:tr w:rsidR="00B42B3F" w:rsidRPr="00916A97" w:rsidTr="00DB432D">
        <w:tc>
          <w:tcPr>
            <w:tcW w:w="1843" w:type="dxa"/>
            <w:shd w:val="clear" w:color="auto" w:fill="F2F2F2"/>
          </w:tcPr>
          <w:p w:rsidR="00B42B3F" w:rsidRPr="00916A97" w:rsidRDefault="00B42B3F" w:rsidP="00DB432D">
            <w:pPr>
              <w:rPr>
                <w:rFonts w:eastAsia="Calibri" w:cs="Arial"/>
                <w:b/>
                <w:sz w:val="22"/>
                <w:szCs w:val="22"/>
              </w:rPr>
            </w:pPr>
            <w:r w:rsidRPr="00916A97">
              <w:rPr>
                <w:rFonts w:eastAsia="Calibri" w:cs="Arial"/>
                <w:b/>
                <w:sz w:val="22"/>
                <w:szCs w:val="22"/>
              </w:rPr>
              <w:t xml:space="preserve">Infection Control Training </w:t>
            </w:r>
          </w:p>
        </w:tc>
        <w:tc>
          <w:tcPr>
            <w:tcW w:w="7433" w:type="dxa"/>
            <w:shd w:val="clear" w:color="auto" w:fill="auto"/>
          </w:tcPr>
          <w:p w:rsidR="00B42B3F" w:rsidRPr="00916A97" w:rsidRDefault="00B42B3F" w:rsidP="00DB432D">
            <w:pPr>
              <w:rPr>
                <w:rFonts w:eastAsia="Calibri" w:cs="Arial"/>
                <w:sz w:val="22"/>
                <w:szCs w:val="22"/>
              </w:rPr>
            </w:pPr>
            <w:r w:rsidRPr="00916A97">
              <w:rPr>
                <w:rFonts w:eastAsia="Calibri" w:cs="Arial"/>
                <w:sz w:val="22"/>
                <w:szCs w:val="22"/>
              </w:rPr>
              <w:t>Specialist IPC support to the local authority contract monitoring team and to the Care Quality Commission.</w:t>
            </w:r>
          </w:p>
          <w:p w:rsidR="00B42B3F" w:rsidRPr="00916A97" w:rsidRDefault="00B42B3F" w:rsidP="00DB432D">
            <w:pPr>
              <w:rPr>
                <w:rFonts w:eastAsia="Calibri" w:cs="Arial"/>
                <w:sz w:val="22"/>
                <w:szCs w:val="22"/>
              </w:rPr>
            </w:pPr>
          </w:p>
          <w:p w:rsidR="00B42B3F" w:rsidRPr="00916A97" w:rsidRDefault="002644D6" w:rsidP="00DB432D">
            <w:pPr>
              <w:rPr>
                <w:rFonts w:eastAsia="Calibri" w:cs="Arial"/>
                <w:sz w:val="22"/>
                <w:szCs w:val="22"/>
              </w:rPr>
            </w:pPr>
            <w:r>
              <w:rPr>
                <w:rFonts w:eastAsia="Calibri" w:cs="Arial"/>
                <w:sz w:val="22"/>
                <w:szCs w:val="22"/>
              </w:rPr>
              <w:t>T</w:t>
            </w:r>
            <w:r w:rsidR="00B42B3F" w:rsidRPr="00916A97">
              <w:rPr>
                <w:rFonts w:eastAsia="Calibri" w:cs="Arial"/>
                <w:sz w:val="22"/>
                <w:szCs w:val="22"/>
              </w:rPr>
              <w:t xml:space="preserve">o provide training, to input or to deliver training to the level and frequency agreed. </w:t>
            </w:r>
          </w:p>
          <w:p w:rsidR="00B42B3F" w:rsidRPr="00916A97" w:rsidRDefault="00B42B3F" w:rsidP="00DB432D">
            <w:pPr>
              <w:rPr>
                <w:rFonts w:eastAsia="Calibri" w:cs="Arial"/>
                <w:sz w:val="22"/>
                <w:szCs w:val="22"/>
              </w:rPr>
            </w:pPr>
          </w:p>
        </w:tc>
      </w:tr>
      <w:tr w:rsidR="00B42B3F" w:rsidRPr="00916A97" w:rsidTr="00DB432D">
        <w:tc>
          <w:tcPr>
            <w:tcW w:w="1843" w:type="dxa"/>
            <w:shd w:val="clear" w:color="auto" w:fill="F2F2F2"/>
          </w:tcPr>
          <w:p w:rsidR="00B42B3F" w:rsidRPr="00916A97" w:rsidRDefault="00B42B3F" w:rsidP="00DB432D">
            <w:pPr>
              <w:shd w:val="clear" w:color="auto" w:fill="F2F2F2"/>
              <w:rPr>
                <w:rFonts w:eastAsia="Calibri" w:cs="Arial"/>
                <w:b/>
                <w:sz w:val="22"/>
                <w:szCs w:val="22"/>
              </w:rPr>
            </w:pPr>
            <w:r w:rsidRPr="00916A97">
              <w:rPr>
                <w:rFonts w:eastAsia="Calibri" w:cs="Arial"/>
                <w:b/>
                <w:sz w:val="22"/>
                <w:szCs w:val="22"/>
              </w:rPr>
              <w:t xml:space="preserve">Health Care Acquired Infections including </w:t>
            </w:r>
          </w:p>
          <w:p w:rsidR="00B42B3F" w:rsidRPr="00916A97" w:rsidRDefault="00B42B3F" w:rsidP="00DB432D">
            <w:pPr>
              <w:shd w:val="clear" w:color="auto" w:fill="F2F2F2"/>
              <w:rPr>
                <w:rFonts w:eastAsia="Calibri" w:cs="Arial"/>
                <w:sz w:val="22"/>
                <w:szCs w:val="22"/>
              </w:rPr>
            </w:pPr>
            <w:r w:rsidRPr="00916A97">
              <w:rPr>
                <w:rFonts w:eastAsia="Calibri" w:cs="Arial"/>
                <w:b/>
                <w:sz w:val="22"/>
                <w:szCs w:val="22"/>
              </w:rPr>
              <w:t>MRSA and Clostridium difficile</w:t>
            </w:r>
          </w:p>
        </w:tc>
        <w:tc>
          <w:tcPr>
            <w:tcW w:w="7433" w:type="dxa"/>
            <w:shd w:val="clear" w:color="auto" w:fill="auto"/>
          </w:tcPr>
          <w:p w:rsidR="00B42B3F" w:rsidRPr="00916A97" w:rsidRDefault="00B42B3F" w:rsidP="00DB432D">
            <w:pPr>
              <w:rPr>
                <w:rFonts w:eastAsia="Calibri" w:cs="Arial"/>
                <w:sz w:val="22"/>
                <w:szCs w:val="22"/>
              </w:rPr>
            </w:pPr>
            <w:r w:rsidRPr="00916A97">
              <w:rPr>
                <w:rFonts w:eastAsia="Calibri" w:cs="Arial"/>
                <w:sz w:val="22"/>
                <w:szCs w:val="22"/>
              </w:rPr>
              <w:t xml:space="preserve">Post Infection Review / investigation for all reported community MRSA Bloodstream infections and CDI where no other healthcare provider is involved. </w:t>
            </w:r>
          </w:p>
          <w:p w:rsidR="00B42B3F" w:rsidRPr="00916A97" w:rsidRDefault="00B42B3F" w:rsidP="00DB432D">
            <w:pPr>
              <w:rPr>
                <w:rFonts w:eastAsia="Calibri" w:cs="Arial"/>
                <w:sz w:val="22"/>
                <w:szCs w:val="22"/>
              </w:rPr>
            </w:pPr>
          </w:p>
          <w:p w:rsidR="00B42B3F" w:rsidRPr="00916A97" w:rsidRDefault="00B42B3F" w:rsidP="00DB432D">
            <w:pPr>
              <w:rPr>
                <w:rFonts w:eastAsia="Calibri" w:cs="Arial"/>
                <w:sz w:val="22"/>
                <w:szCs w:val="22"/>
              </w:rPr>
            </w:pPr>
            <w:r w:rsidRPr="00916A97">
              <w:rPr>
                <w:rFonts w:eastAsia="Calibri" w:cs="Arial"/>
                <w:sz w:val="22"/>
                <w:szCs w:val="22"/>
              </w:rPr>
              <w:t xml:space="preserve">To facilitate post infection review processes for MRSA </w:t>
            </w:r>
            <w:proofErr w:type="spellStart"/>
            <w:r w:rsidRPr="00916A97">
              <w:rPr>
                <w:rFonts w:eastAsia="Calibri" w:cs="Arial"/>
                <w:sz w:val="22"/>
                <w:szCs w:val="22"/>
              </w:rPr>
              <w:t>bacteraemia</w:t>
            </w:r>
            <w:proofErr w:type="spellEnd"/>
            <w:r w:rsidRPr="00916A97">
              <w:rPr>
                <w:rFonts w:eastAsia="Calibri" w:cs="Arial"/>
                <w:sz w:val="22"/>
                <w:szCs w:val="22"/>
              </w:rPr>
              <w:t xml:space="preserve"> and take forward learning points.</w:t>
            </w:r>
          </w:p>
          <w:p w:rsidR="00B42B3F" w:rsidRPr="00916A97" w:rsidRDefault="00B42B3F" w:rsidP="00DB432D">
            <w:pPr>
              <w:rPr>
                <w:rFonts w:eastAsia="Calibri" w:cs="Arial"/>
                <w:sz w:val="22"/>
                <w:szCs w:val="22"/>
              </w:rPr>
            </w:pPr>
          </w:p>
          <w:p w:rsidR="00B42B3F" w:rsidRPr="00916A97" w:rsidRDefault="00B42B3F" w:rsidP="00DB432D">
            <w:pPr>
              <w:rPr>
                <w:rFonts w:eastAsia="Calibri" w:cs="Arial"/>
                <w:sz w:val="22"/>
                <w:szCs w:val="22"/>
              </w:rPr>
            </w:pPr>
            <w:r w:rsidRPr="00916A97">
              <w:rPr>
                <w:rFonts w:eastAsia="Calibri" w:cs="Arial"/>
                <w:sz w:val="22"/>
                <w:szCs w:val="22"/>
              </w:rPr>
              <w:t xml:space="preserve">To develop a work-plan and provide a regular report (initially monthly and quarterly thereafter) and a position statement in relation to the progress related to the annual work plan, including identifying gaps to the governance structure. </w:t>
            </w:r>
          </w:p>
        </w:tc>
      </w:tr>
      <w:tr w:rsidR="00B42B3F" w:rsidRPr="00916A97" w:rsidTr="00DB432D">
        <w:tc>
          <w:tcPr>
            <w:tcW w:w="1843" w:type="dxa"/>
            <w:shd w:val="clear" w:color="auto" w:fill="F2F2F2"/>
          </w:tcPr>
          <w:p w:rsidR="00B42B3F" w:rsidRPr="00916A97" w:rsidRDefault="00B42B3F" w:rsidP="00DB432D">
            <w:pPr>
              <w:shd w:val="clear" w:color="auto" w:fill="F2F2F2"/>
              <w:rPr>
                <w:rFonts w:eastAsia="Calibri" w:cs="Arial"/>
                <w:b/>
                <w:sz w:val="22"/>
                <w:szCs w:val="22"/>
              </w:rPr>
            </w:pPr>
            <w:r w:rsidRPr="00916A97">
              <w:rPr>
                <w:rFonts w:eastAsia="Calibri" w:cs="Arial"/>
                <w:b/>
                <w:sz w:val="22"/>
                <w:szCs w:val="22"/>
              </w:rPr>
              <w:t xml:space="preserve">Case Management </w:t>
            </w:r>
          </w:p>
        </w:tc>
        <w:tc>
          <w:tcPr>
            <w:tcW w:w="7433" w:type="dxa"/>
            <w:shd w:val="clear" w:color="auto" w:fill="auto"/>
          </w:tcPr>
          <w:p w:rsidR="00B42B3F" w:rsidRPr="00916A97" w:rsidRDefault="00B42B3F" w:rsidP="00DB432D">
            <w:pPr>
              <w:rPr>
                <w:rFonts w:eastAsia="Calibri" w:cs="Arial"/>
                <w:sz w:val="22"/>
                <w:szCs w:val="22"/>
              </w:rPr>
            </w:pPr>
            <w:r w:rsidRPr="00916A97">
              <w:rPr>
                <w:rFonts w:eastAsia="Calibri" w:cs="Arial"/>
                <w:sz w:val="22"/>
                <w:szCs w:val="22"/>
              </w:rPr>
              <w:t xml:space="preserve">To support Health and Social Care providers in the scope of this contract to manage a caseload of community MRSA, C. Diff and CPE cases including input to their families and </w:t>
            </w:r>
            <w:proofErr w:type="spellStart"/>
            <w:r w:rsidRPr="00916A97">
              <w:rPr>
                <w:rFonts w:eastAsia="Calibri" w:cs="Arial"/>
                <w:sz w:val="22"/>
                <w:szCs w:val="22"/>
              </w:rPr>
              <w:t>carers</w:t>
            </w:r>
            <w:proofErr w:type="spellEnd"/>
            <w:r w:rsidRPr="00916A97">
              <w:rPr>
                <w:rFonts w:eastAsia="Calibri" w:cs="Arial"/>
                <w:sz w:val="22"/>
                <w:szCs w:val="22"/>
              </w:rPr>
              <w:t xml:space="preserve"> to deliver targeted IPC advice to promote clearance and prevent secondary infection.  </w:t>
            </w:r>
          </w:p>
          <w:p w:rsidR="00B42B3F" w:rsidRPr="00916A97" w:rsidRDefault="00B42B3F" w:rsidP="00DB432D">
            <w:pPr>
              <w:rPr>
                <w:rFonts w:eastAsia="Calibri" w:cs="Arial"/>
                <w:sz w:val="22"/>
                <w:szCs w:val="22"/>
              </w:rPr>
            </w:pPr>
          </w:p>
        </w:tc>
      </w:tr>
      <w:tr w:rsidR="00B42B3F" w:rsidRPr="00916A97" w:rsidTr="00DB432D">
        <w:tc>
          <w:tcPr>
            <w:tcW w:w="1843" w:type="dxa"/>
            <w:shd w:val="clear" w:color="auto" w:fill="F2F2F2"/>
          </w:tcPr>
          <w:p w:rsidR="00B42B3F" w:rsidRPr="00916A97" w:rsidRDefault="00B42B3F" w:rsidP="00DB432D">
            <w:pPr>
              <w:rPr>
                <w:rFonts w:eastAsia="Calibri" w:cs="Arial"/>
                <w:b/>
                <w:sz w:val="22"/>
                <w:szCs w:val="22"/>
              </w:rPr>
            </w:pPr>
            <w:r w:rsidRPr="00916A97">
              <w:rPr>
                <w:rFonts w:eastAsia="Calibri" w:cs="Arial"/>
                <w:b/>
                <w:sz w:val="22"/>
                <w:szCs w:val="22"/>
              </w:rPr>
              <w:t>Control of Notifiable Diseases</w:t>
            </w:r>
          </w:p>
        </w:tc>
        <w:tc>
          <w:tcPr>
            <w:tcW w:w="7433" w:type="dxa"/>
            <w:shd w:val="clear" w:color="auto" w:fill="auto"/>
          </w:tcPr>
          <w:p w:rsidR="00B42B3F" w:rsidRPr="00916A97" w:rsidRDefault="00B42B3F" w:rsidP="00DB432D">
            <w:pPr>
              <w:rPr>
                <w:rFonts w:eastAsia="Calibri" w:cs="Arial"/>
                <w:sz w:val="22"/>
                <w:szCs w:val="22"/>
              </w:rPr>
            </w:pPr>
            <w:r w:rsidRPr="00916A97">
              <w:rPr>
                <w:rFonts w:eastAsia="Calibri" w:cs="Arial"/>
                <w:sz w:val="22"/>
                <w:szCs w:val="22"/>
              </w:rPr>
              <w:t xml:space="preserve">Under the direction of the Health Protection Team at Public Health England (PHE) to: </w:t>
            </w:r>
          </w:p>
          <w:p w:rsidR="00B42B3F" w:rsidRPr="00916A97" w:rsidRDefault="00B42B3F" w:rsidP="007479C3">
            <w:pPr>
              <w:pStyle w:val="ListParagraph"/>
              <w:numPr>
                <w:ilvl w:val="0"/>
                <w:numId w:val="13"/>
              </w:numPr>
              <w:spacing w:after="0" w:line="240" w:lineRule="auto"/>
              <w:rPr>
                <w:rFonts w:ascii="Arial" w:hAnsi="Arial" w:cs="Arial"/>
              </w:rPr>
            </w:pPr>
            <w:r w:rsidRPr="00916A97">
              <w:rPr>
                <w:rFonts w:ascii="Arial" w:hAnsi="Arial" w:cs="Arial"/>
              </w:rPr>
              <w:t xml:space="preserve">To support PHE where necessary to follow up cases of notifiable diseases. </w:t>
            </w:r>
          </w:p>
          <w:p w:rsidR="00B42B3F" w:rsidRPr="00916A97" w:rsidRDefault="00B42B3F" w:rsidP="007479C3">
            <w:pPr>
              <w:pStyle w:val="ListParagraph"/>
              <w:numPr>
                <w:ilvl w:val="0"/>
                <w:numId w:val="13"/>
              </w:numPr>
              <w:spacing w:after="0" w:line="240" w:lineRule="auto"/>
              <w:rPr>
                <w:rFonts w:ascii="Arial" w:hAnsi="Arial" w:cs="Arial"/>
              </w:rPr>
            </w:pPr>
            <w:r w:rsidRPr="00916A97">
              <w:rPr>
                <w:rFonts w:ascii="Arial" w:hAnsi="Arial" w:cs="Arial"/>
              </w:rPr>
              <w:t>Within the scope of the contract to provide advice to health and social care professionals.</w:t>
            </w:r>
          </w:p>
          <w:p w:rsidR="00B42B3F" w:rsidRPr="00916A97" w:rsidRDefault="00B42B3F" w:rsidP="007479C3">
            <w:pPr>
              <w:pStyle w:val="ListParagraph"/>
              <w:numPr>
                <w:ilvl w:val="0"/>
                <w:numId w:val="13"/>
              </w:numPr>
              <w:spacing w:after="0" w:line="240" w:lineRule="auto"/>
              <w:rPr>
                <w:rFonts w:ascii="Arial" w:hAnsi="Arial" w:cs="Arial"/>
              </w:rPr>
            </w:pPr>
            <w:r w:rsidRPr="00916A97">
              <w:rPr>
                <w:rFonts w:ascii="Arial" w:hAnsi="Arial" w:cs="Arial"/>
              </w:rPr>
              <w:t xml:space="preserve">Within the scope of this contract to support Environmental Health teams and contract monitoring teams at DMBC where required on the management of cases or outbreaks of foodborne pathogens. </w:t>
            </w:r>
          </w:p>
          <w:p w:rsidR="00B42B3F" w:rsidRPr="00916A97" w:rsidRDefault="00B42B3F" w:rsidP="00DB432D">
            <w:pPr>
              <w:pStyle w:val="ListParagraph"/>
              <w:rPr>
                <w:rFonts w:ascii="Arial" w:hAnsi="Arial" w:cs="Arial"/>
              </w:rPr>
            </w:pPr>
          </w:p>
        </w:tc>
      </w:tr>
      <w:tr w:rsidR="00B42B3F" w:rsidRPr="00916A97" w:rsidTr="00DB432D">
        <w:trPr>
          <w:trHeight w:val="830"/>
        </w:trPr>
        <w:tc>
          <w:tcPr>
            <w:tcW w:w="1843" w:type="dxa"/>
            <w:shd w:val="clear" w:color="auto" w:fill="F2F2F2"/>
          </w:tcPr>
          <w:p w:rsidR="00B42B3F" w:rsidRPr="00916A97" w:rsidRDefault="00B42B3F" w:rsidP="00DB432D">
            <w:pPr>
              <w:rPr>
                <w:rFonts w:eastAsia="Calibri" w:cs="Arial"/>
                <w:b/>
                <w:sz w:val="22"/>
                <w:szCs w:val="22"/>
              </w:rPr>
            </w:pPr>
            <w:r w:rsidRPr="00916A97">
              <w:rPr>
                <w:rFonts w:eastAsia="Calibri" w:cs="Arial"/>
                <w:b/>
                <w:sz w:val="22"/>
                <w:szCs w:val="22"/>
              </w:rPr>
              <w:t>Infection Control Audits</w:t>
            </w:r>
          </w:p>
        </w:tc>
        <w:tc>
          <w:tcPr>
            <w:tcW w:w="7433" w:type="dxa"/>
            <w:shd w:val="clear" w:color="auto" w:fill="auto"/>
          </w:tcPr>
          <w:p w:rsidR="00B42B3F" w:rsidRPr="00916A97" w:rsidRDefault="00B42B3F" w:rsidP="007479C3">
            <w:pPr>
              <w:pStyle w:val="ListParagraph"/>
              <w:numPr>
                <w:ilvl w:val="0"/>
                <w:numId w:val="14"/>
              </w:numPr>
              <w:spacing w:after="0" w:line="240" w:lineRule="auto"/>
              <w:rPr>
                <w:rFonts w:ascii="Arial" w:hAnsi="Arial" w:cs="Arial"/>
              </w:rPr>
            </w:pPr>
            <w:r w:rsidRPr="00916A97">
              <w:rPr>
                <w:rFonts w:ascii="Arial" w:hAnsi="Arial" w:cs="Arial"/>
              </w:rPr>
              <w:t>To develop with the DMBC Contracts Monitoring team a protocol of managing the risk associated with IPC.</w:t>
            </w:r>
          </w:p>
          <w:p w:rsidR="00B42B3F" w:rsidRPr="00916A97" w:rsidRDefault="00B42B3F" w:rsidP="007479C3">
            <w:pPr>
              <w:pStyle w:val="ListParagraph"/>
              <w:numPr>
                <w:ilvl w:val="0"/>
                <w:numId w:val="14"/>
              </w:numPr>
              <w:spacing w:after="0" w:line="240" w:lineRule="auto"/>
              <w:rPr>
                <w:rFonts w:ascii="Arial" w:hAnsi="Arial" w:cs="Arial"/>
              </w:rPr>
            </w:pPr>
            <w:r w:rsidRPr="00916A97">
              <w:rPr>
                <w:rFonts w:ascii="Arial" w:hAnsi="Arial" w:cs="Arial"/>
              </w:rPr>
              <w:t xml:space="preserve">A tiered approach to Quality Assurance that is in place will be </w:t>
            </w:r>
            <w:r w:rsidRPr="00916A97">
              <w:rPr>
                <w:rFonts w:ascii="Arial" w:hAnsi="Arial" w:cs="Arial"/>
              </w:rPr>
              <w:lastRenderedPageBreak/>
              <w:t>maintained.</w:t>
            </w:r>
          </w:p>
          <w:p w:rsidR="00B42B3F" w:rsidRPr="00916A97" w:rsidRDefault="00B42B3F" w:rsidP="007479C3">
            <w:pPr>
              <w:pStyle w:val="ListParagraph"/>
              <w:numPr>
                <w:ilvl w:val="0"/>
                <w:numId w:val="14"/>
              </w:numPr>
              <w:spacing w:after="0" w:line="240" w:lineRule="auto"/>
              <w:rPr>
                <w:rFonts w:ascii="Arial" w:hAnsi="Arial" w:cs="Arial"/>
              </w:rPr>
            </w:pPr>
            <w:r w:rsidRPr="00916A97">
              <w:rPr>
                <w:rFonts w:ascii="Arial" w:hAnsi="Arial" w:cs="Arial"/>
              </w:rPr>
              <w:t>The Contracts Monitoring Team will identify IPC concerns to the IPC lead delivering this contract.</w:t>
            </w:r>
          </w:p>
          <w:p w:rsidR="00B42B3F" w:rsidRPr="00916A97" w:rsidRDefault="00B42B3F" w:rsidP="007479C3">
            <w:pPr>
              <w:pStyle w:val="ListParagraph"/>
              <w:numPr>
                <w:ilvl w:val="0"/>
                <w:numId w:val="14"/>
              </w:numPr>
              <w:spacing w:after="0" w:line="240" w:lineRule="auto"/>
              <w:rPr>
                <w:rFonts w:ascii="Arial" w:hAnsi="Arial" w:cs="Arial"/>
              </w:rPr>
            </w:pPr>
            <w:r w:rsidRPr="00916A97">
              <w:rPr>
                <w:rFonts w:ascii="Arial" w:hAnsi="Arial" w:cs="Arial"/>
              </w:rPr>
              <w:t xml:space="preserve">Where serious concerns are identified within audits these should be communicated to the Consultant in Public Health and </w:t>
            </w:r>
            <w:r w:rsidR="009F5BBD">
              <w:rPr>
                <w:rFonts w:ascii="Arial" w:hAnsi="Arial" w:cs="Arial"/>
              </w:rPr>
              <w:t xml:space="preserve">Director of Public Health </w:t>
            </w:r>
            <w:r w:rsidRPr="00916A97">
              <w:rPr>
                <w:rFonts w:ascii="Arial" w:hAnsi="Arial" w:cs="Arial"/>
              </w:rPr>
              <w:t xml:space="preserve">as soon as practicable. </w:t>
            </w:r>
          </w:p>
          <w:p w:rsidR="00B42B3F" w:rsidRPr="00916A97" w:rsidRDefault="00B42B3F" w:rsidP="00DB432D">
            <w:pPr>
              <w:pStyle w:val="ListParagraph"/>
              <w:ind w:left="1440"/>
              <w:rPr>
                <w:rFonts w:ascii="Arial" w:hAnsi="Arial" w:cs="Arial"/>
              </w:rPr>
            </w:pPr>
          </w:p>
        </w:tc>
      </w:tr>
      <w:tr w:rsidR="00B42B3F" w:rsidRPr="00916A97" w:rsidTr="00DB432D">
        <w:trPr>
          <w:trHeight w:val="416"/>
        </w:trPr>
        <w:tc>
          <w:tcPr>
            <w:tcW w:w="1843" w:type="dxa"/>
            <w:shd w:val="clear" w:color="auto" w:fill="F2F2F2"/>
          </w:tcPr>
          <w:p w:rsidR="00B42B3F" w:rsidRPr="00916A97" w:rsidRDefault="00B42B3F" w:rsidP="00DB432D">
            <w:pPr>
              <w:rPr>
                <w:rFonts w:eastAsia="Calibri" w:cs="Arial"/>
                <w:b/>
                <w:sz w:val="22"/>
                <w:szCs w:val="22"/>
              </w:rPr>
            </w:pPr>
            <w:r w:rsidRPr="00916A97">
              <w:rPr>
                <w:rFonts w:eastAsia="Calibri" w:cs="Arial"/>
                <w:b/>
                <w:sz w:val="22"/>
                <w:szCs w:val="22"/>
              </w:rPr>
              <w:lastRenderedPageBreak/>
              <w:t>Policies and Procedures</w:t>
            </w:r>
          </w:p>
        </w:tc>
        <w:tc>
          <w:tcPr>
            <w:tcW w:w="7433" w:type="dxa"/>
            <w:shd w:val="clear" w:color="auto" w:fill="auto"/>
          </w:tcPr>
          <w:p w:rsidR="00B42B3F" w:rsidRPr="00916A97" w:rsidRDefault="00B42B3F" w:rsidP="00DB432D">
            <w:pPr>
              <w:ind w:left="743"/>
              <w:rPr>
                <w:rFonts w:eastAsia="Calibri" w:cs="Arial"/>
                <w:sz w:val="22"/>
                <w:szCs w:val="22"/>
              </w:rPr>
            </w:pPr>
            <w:r w:rsidRPr="00916A97">
              <w:rPr>
                <w:rFonts w:eastAsia="Calibri" w:cs="Arial"/>
                <w:sz w:val="22"/>
                <w:szCs w:val="22"/>
              </w:rPr>
              <w:t>The Service Provider will:</w:t>
            </w:r>
          </w:p>
          <w:p w:rsidR="00B42B3F" w:rsidRPr="00916A97" w:rsidRDefault="00B42B3F" w:rsidP="007479C3">
            <w:pPr>
              <w:pStyle w:val="ListParagraph"/>
              <w:numPr>
                <w:ilvl w:val="0"/>
                <w:numId w:val="14"/>
              </w:numPr>
              <w:spacing w:after="0" w:line="240" w:lineRule="auto"/>
              <w:rPr>
                <w:rFonts w:ascii="Arial" w:hAnsi="Arial" w:cs="Arial"/>
              </w:rPr>
            </w:pPr>
            <w:r w:rsidRPr="00916A97">
              <w:rPr>
                <w:rFonts w:ascii="Arial" w:hAnsi="Arial" w:cs="Arial"/>
              </w:rPr>
              <w:t>Utilise Provider’s IPC policies and procedures to ensure consistent message.</w:t>
            </w:r>
          </w:p>
          <w:p w:rsidR="00B42B3F" w:rsidRPr="00916A97" w:rsidRDefault="00B42B3F" w:rsidP="00DB432D">
            <w:pPr>
              <w:pStyle w:val="ListParagraph"/>
              <w:rPr>
                <w:rFonts w:ascii="Arial" w:hAnsi="Arial" w:cs="Arial"/>
              </w:rPr>
            </w:pPr>
          </w:p>
        </w:tc>
      </w:tr>
      <w:tr w:rsidR="00B42B3F" w:rsidRPr="00916A97" w:rsidTr="00DB432D">
        <w:trPr>
          <w:trHeight w:val="830"/>
        </w:trPr>
        <w:tc>
          <w:tcPr>
            <w:tcW w:w="1843" w:type="dxa"/>
            <w:shd w:val="clear" w:color="auto" w:fill="F2F2F2"/>
          </w:tcPr>
          <w:p w:rsidR="00B42B3F" w:rsidRPr="00916A97" w:rsidRDefault="00B42B3F" w:rsidP="00DB432D">
            <w:pPr>
              <w:rPr>
                <w:rFonts w:eastAsia="Calibri" w:cs="Arial"/>
                <w:b/>
                <w:sz w:val="22"/>
                <w:szCs w:val="22"/>
              </w:rPr>
            </w:pPr>
            <w:r w:rsidRPr="00916A97">
              <w:rPr>
                <w:rFonts w:eastAsia="Calibri" w:cs="Arial"/>
                <w:b/>
                <w:sz w:val="22"/>
                <w:szCs w:val="22"/>
              </w:rPr>
              <w:t>Achieving the</w:t>
            </w:r>
          </w:p>
          <w:p w:rsidR="00B42B3F" w:rsidRPr="00916A97" w:rsidRDefault="00B42B3F" w:rsidP="00DB432D">
            <w:pPr>
              <w:rPr>
                <w:rFonts w:eastAsia="Calibri" w:cs="Arial"/>
                <w:b/>
                <w:sz w:val="22"/>
                <w:szCs w:val="22"/>
              </w:rPr>
            </w:pPr>
            <w:r w:rsidRPr="00916A97">
              <w:rPr>
                <w:rFonts w:eastAsia="Calibri" w:cs="Arial"/>
                <w:b/>
                <w:sz w:val="22"/>
                <w:szCs w:val="22"/>
              </w:rPr>
              <w:t>requirements of the Health and Social Care Act</w:t>
            </w:r>
          </w:p>
          <w:p w:rsidR="00B42B3F" w:rsidRPr="00916A97" w:rsidRDefault="00B42B3F" w:rsidP="00DB432D">
            <w:pPr>
              <w:rPr>
                <w:rFonts w:eastAsia="Calibri" w:cs="Arial"/>
                <w:b/>
                <w:sz w:val="22"/>
                <w:szCs w:val="22"/>
              </w:rPr>
            </w:pPr>
            <w:r w:rsidRPr="00916A97">
              <w:rPr>
                <w:rFonts w:eastAsia="Calibri" w:cs="Arial"/>
                <w:b/>
                <w:sz w:val="22"/>
                <w:szCs w:val="22"/>
              </w:rPr>
              <w:t>2008 &amp; 2010</w:t>
            </w:r>
          </w:p>
        </w:tc>
        <w:tc>
          <w:tcPr>
            <w:tcW w:w="7433" w:type="dxa"/>
            <w:shd w:val="clear" w:color="auto" w:fill="auto"/>
          </w:tcPr>
          <w:p w:rsidR="00B42B3F" w:rsidRPr="00916A97" w:rsidRDefault="00B42B3F" w:rsidP="00DB432D">
            <w:pPr>
              <w:pStyle w:val="ListParagraph"/>
              <w:rPr>
                <w:rFonts w:ascii="Arial" w:hAnsi="Arial" w:cs="Arial"/>
              </w:rPr>
            </w:pPr>
            <w:r w:rsidRPr="00916A97">
              <w:rPr>
                <w:rFonts w:ascii="Arial" w:hAnsi="Arial" w:cs="Arial"/>
              </w:rPr>
              <w:t>The Service Provider will:</w:t>
            </w:r>
          </w:p>
          <w:p w:rsidR="00B42B3F" w:rsidRPr="00916A97" w:rsidRDefault="00B42B3F" w:rsidP="007479C3">
            <w:pPr>
              <w:pStyle w:val="ListParagraph"/>
              <w:numPr>
                <w:ilvl w:val="0"/>
                <w:numId w:val="14"/>
              </w:numPr>
              <w:spacing w:after="0" w:line="240" w:lineRule="auto"/>
              <w:rPr>
                <w:rFonts w:ascii="Arial" w:hAnsi="Arial" w:cs="Arial"/>
              </w:rPr>
            </w:pPr>
            <w:r w:rsidRPr="00916A97">
              <w:rPr>
                <w:rFonts w:ascii="Arial" w:hAnsi="Arial" w:cs="Arial"/>
              </w:rPr>
              <w:t>Work with colleagues based within DMBC to support them with compliance with the requirements of the Health and Social Care Act 2008 and 2010.</w:t>
            </w:r>
          </w:p>
          <w:p w:rsidR="00B42B3F" w:rsidRPr="00916A97" w:rsidRDefault="00B42B3F" w:rsidP="007479C3">
            <w:pPr>
              <w:pStyle w:val="ListParagraph"/>
              <w:numPr>
                <w:ilvl w:val="0"/>
                <w:numId w:val="14"/>
              </w:numPr>
              <w:spacing w:after="0" w:line="240" w:lineRule="auto"/>
              <w:rPr>
                <w:rFonts w:ascii="Arial" w:hAnsi="Arial" w:cs="Arial"/>
              </w:rPr>
            </w:pPr>
            <w:r w:rsidRPr="00916A97">
              <w:rPr>
                <w:rFonts w:ascii="Arial" w:hAnsi="Arial" w:cs="Arial"/>
              </w:rPr>
              <w:t xml:space="preserve">Work closely with the Care Quality Commission </w:t>
            </w:r>
          </w:p>
          <w:p w:rsidR="00B42B3F" w:rsidRPr="00916A97" w:rsidRDefault="00B42B3F" w:rsidP="007479C3">
            <w:pPr>
              <w:pStyle w:val="ListParagraph"/>
              <w:numPr>
                <w:ilvl w:val="0"/>
                <w:numId w:val="14"/>
              </w:numPr>
              <w:spacing w:after="0" w:line="240" w:lineRule="auto"/>
              <w:rPr>
                <w:rFonts w:ascii="Arial" w:hAnsi="Arial" w:cs="Arial"/>
              </w:rPr>
            </w:pPr>
            <w:r w:rsidRPr="00916A97">
              <w:rPr>
                <w:rFonts w:ascii="Arial" w:hAnsi="Arial" w:cs="Arial"/>
              </w:rPr>
              <w:t>Work with CCG colleagues</w:t>
            </w:r>
          </w:p>
        </w:tc>
      </w:tr>
      <w:tr w:rsidR="00B42B3F" w:rsidRPr="00916A97" w:rsidTr="00DB432D">
        <w:trPr>
          <w:trHeight w:val="830"/>
        </w:trPr>
        <w:tc>
          <w:tcPr>
            <w:tcW w:w="1843" w:type="dxa"/>
            <w:shd w:val="clear" w:color="auto" w:fill="F2F2F2"/>
          </w:tcPr>
          <w:p w:rsidR="00B42B3F" w:rsidRPr="00916A97" w:rsidRDefault="00B42B3F" w:rsidP="00DB432D">
            <w:pPr>
              <w:rPr>
                <w:rFonts w:eastAsia="Calibri" w:cs="Arial"/>
                <w:b/>
                <w:sz w:val="22"/>
                <w:szCs w:val="22"/>
              </w:rPr>
            </w:pPr>
            <w:r w:rsidRPr="00916A97">
              <w:rPr>
                <w:rFonts w:eastAsia="Calibri" w:cs="Arial"/>
                <w:b/>
                <w:sz w:val="22"/>
                <w:szCs w:val="22"/>
              </w:rPr>
              <w:t>Anti-microbial resistance</w:t>
            </w:r>
          </w:p>
        </w:tc>
        <w:tc>
          <w:tcPr>
            <w:tcW w:w="7433" w:type="dxa"/>
            <w:shd w:val="clear" w:color="auto" w:fill="auto"/>
          </w:tcPr>
          <w:p w:rsidR="00B42B3F" w:rsidRPr="00916A97" w:rsidRDefault="00B42B3F" w:rsidP="007479C3">
            <w:pPr>
              <w:pStyle w:val="ListParagraph"/>
              <w:numPr>
                <w:ilvl w:val="0"/>
                <w:numId w:val="16"/>
              </w:numPr>
              <w:spacing w:after="0" w:line="240" w:lineRule="auto"/>
              <w:rPr>
                <w:rFonts w:ascii="Arial" w:hAnsi="Arial" w:cs="Arial"/>
              </w:rPr>
            </w:pPr>
            <w:r w:rsidRPr="00916A97">
              <w:rPr>
                <w:rFonts w:ascii="Arial" w:hAnsi="Arial" w:cs="Arial"/>
              </w:rPr>
              <w:t>Work in collaboration with CCG Medicines Management Team in line with existing arrangements to support providers within the scope of this contract to ensure that they have access to relevant professional groups in order that people are prescribed antibiotics in accordance with local antibiotic formularies as part of antimicrobial stewardship.</w:t>
            </w:r>
          </w:p>
          <w:p w:rsidR="00B42B3F" w:rsidRPr="00916A97" w:rsidRDefault="00B42B3F" w:rsidP="00DB432D">
            <w:pPr>
              <w:pStyle w:val="ListParagraph"/>
              <w:rPr>
                <w:rFonts w:ascii="Arial" w:hAnsi="Arial" w:cs="Arial"/>
              </w:rPr>
            </w:pPr>
          </w:p>
        </w:tc>
      </w:tr>
      <w:tr w:rsidR="00B42B3F" w:rsidRPr="00642B57" w:rsidTr="00DB432D">
        <w:trPr>
          <w:trHeight w:val="830"/>
        </w:trPr>
        <w:tc>
          <w:tcPr>
            <w:tcW w:w="1843" w:type="dxa"/>
            <w:shd w:val="clear" w:color="auto" w:fill="F2F2F2"/>
          </w:tcPr>
          <w:p w:rsidR="00B42B3F" w:rsidRPr="00916A97" w:rsidRDefault="00B42B3F" w:rsidP="00DB432D">
            <w:pPr>
              <w:rPr>
                <w:rFonts w:eastAsia="Calibri" w:cs="Arial"/>
                <w:b/>
                <w:sz w:val="22"/>
                <w:szCs w:val="22"/>
              </w:rPr>
            </w:pPr>
            <w:r w:rsidRPr="00916A97">
              <w:rPr>
                <w:rFonts w:eastAsia="Calibri" w:cs="Arial"/>
                <w:b/>
                <w:sz w:val="22"/>
                <w:szCs w:val="22"/>
              </w:rPr>
              <w:t>Links with environmental health</w:t>
            </w:r>
          </w:p>
        </w:tc>
        <w:tc>
          <w:tcPr>
            <w:tcW w:w="7433" w:type="dxa"/>
            <w:shd w:val="clear" w:color="auto" w:fill="auto"/>
          </w:tcPr>
          <w:p w:rsidR="00B42B3F" w:rsidRPr="00916A97" w:rsidRDefault="00B42B3F" w:rsidP="00DB432D">
            <w:pPr>
              <w:ind w:firstLine="743"/>
              <w:rPr>
                <w:rFonts w:eastAsia="Calibri" w:cs="Arial"/>
                <w:sz w:val="22"/>
                <w:szCs w:val="22"/>
              </w:rPr>
            </w:pPr>
            <w:r w:rsidRPr="00916A97">
              <w:rPr>
                <w:rFonts w:eastAsia="Calibri" w:cs="Arial"/>
                <w:sz w:val="22"/>
                <w:szCs w:val="22"/>
              </w:rPr>
              <w:t xml:space="preserve">The service provider will: </w:t>
            </w:r>
          </w:p>
          <w:p w:rsidR="00B42B3F" w:rsidRPr="00916A97" w:rsidRDefault="00B42B3F" w:rsidP="007479C3">
            <w:pPr>
              <w:pStyle w:val="ListParagraph"/>
              <w:numPr>
                <w:ilvl w:val="0"/>
                <w:numId w:val="15"/>
              </w:numPr>
              <w:spacing w:after="0" w:line="240" w:lineRule="auto"/>
              <w:rPr>
                <w:rFonts w:ascii="Arial" w:hAnsi="Arial" w:cs="Arial"/>
              </w:rPr>
            </w:pPr>
            <w:r w:rsidRPr="00916A97">
              <w:rPr>
                <w:rFonts w:ascii="Arial" w:hAnsi="Arial" w:cs="Arial"/>
              </w:rPr>
              <w:t>Work in collaboration with local authority environmental health in collaboration with PHE teams to provider surge capacity during outbreaks.</w:t>
            </w:r>
          </w:p>
          <w:p w:rsidR="00B42B3F" w:rsidRPr="00642B57" w:rsidRDefault="00B42B3F" w:rsidP="00DB432D">
            <w:pPr>
              <w:pStyle w:val="ListParagraph"/>
              <w:rPr>
                <w:rFonts w:ascii="Arial" w:hAnsi="Arial" w:cs="Arial"/>
              </w:rPr>
            </w:pPr>
          </w:p>
        </w:tc>
      </w:tr>
    </w:tbl>
    <w:p w:rsidR="00B42B3F" w:rsidRDefault="00B42B3F" w:rsidP="00B42B3F"/>
    <w:p w:rsidR="00B42B3F" w:rsidRPr="00180A55" w:rsidRDefault="00B42B3F" w:rsidP="00B42B3F">
      <w:pPr>
        <w:rPr>
          <w:i/>
          <w:sz w:val="22"/>
          <w:szCs w:val="22"/>
        </w:rPr>
      </w:pPr>
      <w:r w:rsidRPr="00180A55">
        <w:rPr>
          <w:i/>
          <w:sz w:val="22"/>
          <w:szCs w:val="22"/>
        </w:rPr>
        <w:t>The Financial Impacts</w:t>
      </w:r>
    </w:p>
    <w:p w:rsidR="00B42B3F" w:rsidRDefault="00B42B3F" w:rsidP="00B42B3F">
      <w:pPr>
        <w:rPr>
          <w:rFonts w:cs="Arial"/>
        </w:rPr>
      </w:pPr>
    </w:p>
    <w:p w:rsidR="00700680" w:rsidRDefault="00700680" w:rsidP="00B42B3F">
      <w:pPr>
        <w:rPr>
          <w:rFonts w:cs="Arial"/>
        </w:rPr>
      </w:pPr>
      <w:r w:rsidRPr="00700680">
        <w:rPr>
          <w:rFonts w:cs="Arial"/>
          <w:b/>
        </w:rPr>
        <w:t xml:space="preserve">Table </w:t>
      </w:r>
      <w:r w:rsidR="00961995">
        <w:rPr>
          <w:rFonts w:cs="Arial"/>
          <w:b/>
        </w:rPr>
        <w:t>8</w:t>
      </w:r>
      <w:r w:rsidRPr="00700680">
        <w:rPr>
          <w:rFonts w:cs="Arial"/>
          <w:b/>
        </w:rPr>
        <w:t>:</w:t>
      </w:r>
      <w:r>
        <w:rPr>
          <w:rFonts w:cs="Arial"/>
        </w:rPr>
        <w:t xml:space="preserve"> Infection Prevention and Control costs</w:t>
      </w:r>
    </w:p>
    <w:tbl>
      <w:tblPr>
        <w:tblW w:w="7595" w:type="dxa"/>
        <w:tblInd w:w="93" w:type="dxa"/>
        <w:tblLook w:val="04A0" w:firstRow="1" w:lastRow="0" w:firstColumn="1" w:lastColumn="0" w:noHBand="0" w:noVBand="1"/>
      </w:tblPr>
      <w:tblGrid>
        <w:gridCol w:w="3417"/>
        <w:gridCol w:w="1142"/>
        <w:gridCol w:w="1012"/>
        <w:gridCol w:w="1012"/>
        <w:gridCol w:w="1012"/>
      </w:tblGrid>
      <w:tr w:rsidR="0076651B" w:rsidRPr="00B42B3F" w:rsidTr="0076651B">
        <w:trPr>
          <w:trHeight w:val="359"/>
        </w:trPr>
        <w:tc>
          <w:tcPr>
            <w:tcW w:w="3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51B" w:rsidRPr="00B42B3F" w:rsidRDefault="0076651B" w:rsidP="00B42B3F">
            <w:pPr>
              <w:overflowPunct/>
              <w:autoSpaceDE/>
              <w:autoSpaceDN/>
              <w:adjustRightInd/>
              <w:textAlignment w:val="auto"/>
              <w:rPr>
                <w:rFonts w:cs="Arial"/>
                <w:b/>
                <w:bCs/>
                <w:color w:val="000000"/>
                <w:sz w:val="22"/>
                <w:szCs w:val="22"/>
                <w:lang w:val="en-GB" w:eastAsia="en-GB"/>
              </w:rPr>
            </w:pPr>
            <w:r w:rsidRPr="00B42B3F">
              <w:rPr>
                <w:rFonts w:cs="Arial"/>
                <w:b/>
                <w:bCs/>
                <w:color w:val="000000"/>
                <w:sz w:val="22"/>
                <w:szCs w:val="22"/>
                <w:lang w:val="en-GB" w:eastAsia="en-GB"/>
              </w:rPr>
              <w:t>Public Health Services</w:t>
            </w:r>
          </w:p>
        </w:tc>
        <w:tc>
          <w:tcPr>
            <w:tcW w:w="1142" w:type="dxa"/>
            <w:tcBorders>
              <w:top w:val="single" w:sz="4" w:space="0" w:color="auto"/>
              <w:left w:val="single" w:sz="4" w:space="0" w:color="auto"/>
              <w:bottom w:val="single" w:sz="4" w:space="0" w:color="auto"/>
              <w:right w:val="single" w:sz="4" w:space="0" w:color="auto"/>
            </w:tcBorders>
            <w:vAlign w:val="bottom"/>
          </w:tcPr>
          <w:p w:rsidR="0076651B" w:rsidRPr="00B42B3F" w:rsidRDefault="0076651B" w:rsidP="001C77D6">
            <w:pPr>
              <w:overflowPunct/>
              <w:autoSpaceDE/>
              <w:autoSpaceDN/>
              <w:adjustRightInd/>
              <w:jc w:val="right"/>
              <w:textAlignment w:val="auto"/>
              <w:rPr>
                <w:rFonts w:cs="Arial"/>
                <w:b/>
                <w:bCs/>
                <w:color w:val="000000"/>
                <w:sz w:val="22"/>
                <w:szCs w:val="22"/>
                <w:lang w:val="en-GB" w:eastAsia="en-GB"/>
              </w:rPr>
            </w:pPr>
            <w:r>
              <w:rPr>
                <w:rFonts w:cs="Arial"/>
                <w:b/>
                <w:bCs/>
                <w:color w:val="000000"/>
                <w:sz w:val="22"/>
                <w:szCs w:val="22"/>
                <w:lang w:val="en-GB" w:eastAsia="en-GB"/>
              </w:rPr>
              <w:t>2017/18</w:t>
            </w:r>
          </w:p>
        </w:tc>
        <w:tc>
          <w:tcPr>
            <w:tcW w:w="1012" w:type="dxa"/>
            <w:tcBorders>
              <w:top w:val="single" w:sz="4" w:space="0" w:color="000000"/>
              <w:left w:val="single" w:sz="4" w:space="0" w:color="auto"/>
              <w:bottom w:val="single" w:sz="4" w:space="0" w:color="000000"/>
              <w:right w:val="nil"/>
            </w:tcBorders>
            <w:shd w:val="clear" w:color="auto" w:fill="auto"/>
            <w:noWrap/>
            <w:vAlign w:val="bottom"/>
            <w:hideMark/>
          </w:tcPr>
          <w:p w:rsidR="0076651B" w:rsidRPr="00B42B3F" w:rsidRDefault="0076651B" w:rsidP="00B42B3F">
            <w:pPr>
              <w:overflowPunct/>
              <w:autoSpaceDE/>
              <w:autoSpaceDN/>
              <w:adjustRightInd/>
              <w:jc w:val="right"/>
              <w:textAlignment w:val="auto"/>
              <w:rPr>
                <w:rFonts w:cs="Arial"/>
                <w:b/>
                <w:bCs/>
                <w:color w:val="000000"/>
                <w:sz w:val="22"/>
                <w:szCs w:val="22"/>
                <w:lang w:val="en-GB" w:eastAsia="en-GB"/>
              </w:rPr>
            </w:pPr>
            <w:r w:rsidRPr="00B42B3F">
              <w:rPr>
                <w:rFonts w:cs="Arial"/>
                <w:b/>
                <w:bCs/>
                <w:color w:val="000000"/>
                <w:sz w:val="22"/>
                <w:szCs w:val="22"/>
                <w:lang w:val="en-GB" w:eastAsia="en-GB"/>
              </w:rPr>
              <w:t>2018/19</w:t>
            </w:r>
          </w:p>
        </w:tc>
        <w:tc>
          <w:tcPr>
            <w:tcW w:w="1012" w:type="dxa"/>
            <w:tcBorders>
              <w:top w:val="single" w:sz="4" w:space="0" w:color="000000"/>
              <w:left w:val="nil"/>
              <w:bottom w:val="single" w:sz="4" w:space="0" w:color="000000"/>
              <w:right w:val="nil"/>
            </w:tcBorders>
            <w:shd w:val="clear" w:color="auto" w:fill="auto"/>
            <w:noWrap/>
            <w:vAlign w:val="bottom"/>
            <w:hideMark/>
          </w:tcPr>
          <w:p w:rsidR="0076651B" w:rsidRPr="00B42B3F" w:rsidRDefault="0076651B" w:rsidP="00B42B3F">
            <w:pPr>
              <w:overflowPunct/>
              <w:autoSpaceDE/>
              <w:autoSpaceDN/>
              <w:adjustRightInd/>
              <w:jc w:val="right"/>
              <w:textAlignment w:val="auto"/>
              <w:rPr>
                <w:rFonts w:cs="Arial"/>
                <w:b/>
                <w:bCs/>
                <w:color w:val="000000"/>
                <w:sz w:val="22"/>
                <w:szCs w:val="22"/>
                <w:lang w:val="en-GB" w:eastAsia="en-GB"/>
              </w:rPr>
            </w:pPr>
            <w:r w:rsidRPr="00B42B3F">
              <w:rPr>
                <w:rFonts w:cs="Arial"/>
                <w:b/>
                <w:bCs/>
                <w:color w:val="000000"/>
                <w:sz w:val="22"/>
                <w:szCs w:val="22"/>
                <w:lang w:val="en-GB" w:eastAsia="en-GB"/>
              </w:rPr>
              <w:t>2019/20</w:t>
            </w:r>
          </w:p>
        </w:tc>
        <w:tc>
          <w:tcPr>
            <w:tcW w:w="1012" w:type="dxa"/>
            <w:tcBorders>
              <w:top w:val="single" w:sz="4" w:space="0" w:color="000000"/>
              <w:left w:val="nil"/>
              <w:bottom w:val="single" w:sz="4" w:space="0" w:color="000000"/>
              <w:right w:val="single" w:sz="4" w:space="0" w:color="auto"/>
            </w:tcBorders>
            <w:shd w:val="clear" w:color="auto" w:fill="auto"/>
            <w:noWrap/>
            <w:vAlign w:val="bottom"/>
            <w:hideMark/>
          </w:tcPr>
          <w:p w:rsidR="0076651B" w:rsidRPr="00B42B3F" w:rsidRDefault="0076651B" w:rsidP="00B42B3F">
            <w:pPr>
              <w:overflowPunct/>
              <w:autoSpaceDE/>
              <w:autoSpaceDN/>
              <w:adjustRightInd/>
              <w:jc w:val="right"/>
              <w:textAlignment w:val="auto"/>
              <w:rPr>
                <w:rFonts w:cs="Arial"/>
                <w:b/>
                <w:bCs/>
                <w:color w:val="000000"/>
                <w:sz w:val="22"/>
                <w:szCs w:val="22"/>
                <w:lang w:val="en-GB" w:eastAsia="en-GB"/>
              </w:rPr>
            </w:pPr>
            <w:r w:rsidRPr="00B42B3F">
              <w:rPr>
                <w:rFonts w:cs="Arial"/>
                <w:b/>
                <w:bCs/>
                <w:color w:val="000000"/>
                <w:sz w:val="22"/>
                <w:szCs w:val="22"/>
                <w:lang w:val="en-GB" w:eastAsia="en-GB"/>
              </w:rPr>
              <w:t>2020/21</w:t>
            </w:r>
          </w:p>
        </w:tc>
      </w:tr>
      <w:tr w:rsidR="0076651B" w:rsidRPr="00B42B3F" w:rsidTr="0076651B">
        <w:trPr>
          <w:trHeight w:val="700"/>
        </w:trPr>
        <w:tc>
          <w:tcPr>
            <w:tcW w:w="3417"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76651B" w:rsidRPr="00B42B3F" w:rsidRDefault="0076651B" w:rsidP="00B42B3F">
            <w:pPr>
              <w:overflowPunct/>
              <w:autoSpaceDE/>
              <w:autoSpaceDN/>
              <w:adjustRightInd/>
              <w:textAlignment w:val="auto"/>
              <w:rPr>
                <w:rFonts w:cs="Arial"/>
                <w:color w:val="000000"/>
                <w:sz w:val="22"/>
                <w:szCs w:val="22"/>
                <w:lang w:val="en-GB" w:eastAsia="en-GB"/>
              </w:rPr>
            </w:pPr>
            <w:r w:rsidRPr="00B42B3F">
              <w:rPr>
                <w:rFonts w:cs="Arial"/>
                <w:color w:val="000000"/>
                <w:sz w:val="22"/>
                <w:szCs w:val="22"/>
                <w:lang w:val="en-GB" w:eastAsia="en-GB"/>
              </w:rPr>
              <w:t>Infection Prevention and Control</w:t>
            </w:r>
          </w:p>
        </w:tc>
        <w:tc>
          <w:tcPr>
            <w:tcW w:w="1142" w:type="dxa"/>
            <w:tcBorders>
              <w:top w:val="single" w:sz="4" w:space="0" w:color="auto"/>
              <w:left w:val="single" w:sz="4" w:space="0" w:color="auto"/>
              <w:bottom w:val="single" w:sz="4" w:space="0" w:color="auto"/>
              <w:right w:val="single" w:sz="4" w:space="0" w:color="auto"/>
            </w:tcBorders>
            <w:shd w:val="clear" w:color="D9D9D9" w:fill="D9D9D9"/>
            <w:vAlign w:val="bottom"/>
          </w:tcPr>
          <w:p w:rsidR="0076651B" w:rsidRPr="00B42B3F" w:rsidRDefault="0076651B" w:rsidP="001C77D6">
            <w:pPr>
              <w:overflowPunct/>
              <w:autoSpaceDE/>
              <w:autoSpaceDN/>
              <w:adjustRightInd/>
              <w:jc w:val="right"/>
              <w:textAlignment w:val="auto"/>
              <w:rPr>
                <w:rFonts w:cs="Arial"/>
                <w:color w:val="000000"/>
                <w:sz w:val="22"/>
                <w:szCs w:val="22"/>
                <w:lang w:val="en-GB" w:eastAsia="en-GB"/>
              </w:rPr>
            </w:pPr>
            <w:r w:rsidRPr="001121EB">
              <w:rPr>
                <w:rFonts w:cs="Arial"/>
                <w:sz w:val="22"/>
                <w:szCs w:val="22"/>
                <w:lang w:val="en-GB" w:eastAsia="en-GB"/>
              </w:rPr>
              <w:t>72,600</w:t>
            </w:r>
          </w:p>
        </w:tc>
        <w:tc>
          <w:tcPr>
            <w:tcW w:w="1012" w:type="dxa"/>
            <w:tcBorders>
              <w:top w:val="nil"/>
              <w:left w:val="single" w:sz="4" w:space="0" w:color="auto"/>
              <w:bottom w:val="single" w:sz="4" w:space="0" w:color="auto"/>
              <w:right w:val="nil"/>
            </w:tcBorders>
            <w:shd w:val="clear" w:color="D9D9D9" w:fill="D9D9D9"/>
            <w:noWrap/>
            <w:vAlign w:val="bottom"/>
            <w:hideMark/>
          </w:tcPr>
          <w:p w:rsidR="0076651B" w:rsidRPr="00B42B3F" w:rsidRDefault="0076651B" w:rsidP="00B42B3F">
            <w:pPr>
              <w:overflowPunct/>
              <w:autoSpaceDE/>
              <w:autoSpaceDN/>
              <w:adjustRightInd/>
              <w:jc w:val="right"/>
              <w:textAlignment w:val="auto"/>
              <w:rPr>
                <w:rFonts w:cs="Arial"/>
                <w:color w:val="000000"/>
                <w:sz w:val="22"/>
                <w:szCs w:val="22"/>
                <w:lang w:val="en-GB" w:eastAsia="en-GB"/>
              </w:rPr>
            </w:pPr>
            <w:r w:rsidRPr="00B42B3F">
              <w:rPr>
                <w:rFonts w:cs="Arial"/>
                <w:color w:val="000000"/>
                <w:sz w:val="22"/>
                <w:szCs w:val="22"/>
                <w:lang w:val="en-GB" w:eastAsia="en-GB"/>
              </w:rPr>
              <w:t xml:space="preserve">                70,000 </w:t>
            </w:r>
          </w:p>
        </w:tc>
        <w:tc>
          <w:tcPr>
            <w:tcW w:w="1012" w:type="dxa"/>
            <w:tcBorders>
              <w:top w:val="nil"/>
              <w:left w:val="nil"/>
              <w:bottom w:val="single" w:sz="4" w:space="0" w:color="auto"/>
              <w:right w:val="nil"/>
            </w:tcBorders>
            <w:shd w:val="clear" w:color="D9D9D9" w:fill="D9D9D9"/>
            <w:noWrap/>
            <w:vAlign w:val="bottom"/>
            <w:hideMark/>
          </w:tcPr>
          <w:p w:rsidR="0076651B" w:rsidRPr="00B42B3F" w:rsidRDefault="0076651B" w:rsidP="0076651B">
            <w:pPr>
              <w:overflowPunct/>
              <w:autoSpaceDE/>
              <w:autoSpaceDN/>
              <w:adjustRightInd/>
              <w:textAlignment w:val="auto"/>
              <w:rPr>
                <w:rFonts w:cs="Arial"/>
                <w:color w:val="000000"/>
                <w:sz w:val="22"/>
                <w:szCs w:val="22"/>
                <w:lang w:val="en-GB" w:eastAsia="en-GB"/>
              </w:rPr>
            </w:pPr>
            <w:r>
              <w:rPr>
                <w:rFonts w:cs="Arial"/>
                <w:color w:val="000000"/>
                <w:sz w:val="22"/>
                <w:szCs w:val="22"/>
                <w:lang w:val="en-GB" w:eastAsia="en-GB"/>
              </w:rPr>
              <w:t xml:space="preserve">        7</w:t>
            </w:r>
            <w:r w:rsidRPr="00B42B3F">
              <w:rPr>
                <w:rFonts w:cs="Arial"/>
                <w:color w:val="000000"/>
                <w:sz w:val="22"/>
                <w:szCs w:val="22"/>
                <w:lang w:val="en-GB" w:eastAsia="en-GB"/>
              </w:rPr>
              <w:t xml:space="preserve">0,000 </w:t>
            </w:r>
          </w:p>
        </w:tc>
        <w:tc>
          <w:tcPr>
            <w:tcW w:w="1012" w:type="dxa"/>
            <w:tcBorders>
              <w:top w:val="single" w:sz="4" w:space="0" w:color="000000"/>
              <w:left w:val="nil"/>
              <w:bottom w:val="single" w:sz="4" w:space="0" w:color="auto"/>
              <w:right w:val="single" w:sz="4" w:space="0" w:color="auto"/>
            </w:tcBorders>
            <w:shd w:val="clear" w:color="D9D9D9" w:fill="D9D9D9"/>
            <w:noWrap/>
            <w:vAlign w:val="bottom"/>
            <w:hideMark/>
          </w:tcPr>
          <w:p w:rsidR="0076651B" w:rsidRPr="00B42B3F" w:rsidRDefault="0076651B" w:rsidP="0076651B">
            <w:pPr>
              <w:overflowPunct/>
              <w:autoSpaceDE/>
              <w:autoSpaceDN/>
              <w:adjustRightInd/>
              <w:textAlignment w:val="auto"/>
              <w:rPr>
                <w:rFonts w:cs="Arial"/>
                <w:color w:val="000000"/>
                <w:sz w:val="22"/>
                <w:szCs w:val="22"/>
                <w:lang w:val="en-GB" w:eastAsia="en-GB"/>
              </w:rPr>
            </w:pPr>
            <w:r w:rsidRPr="00B42B3F">
              <w:rPr>
                <w:rFonts w:cs="Arial"/>
                <w:color w:val="000000"/>
                <w:sz w:val="22"/>
                <w:szCs w:val="22"/>
                <w:lang w:val="en-GB" w:eastAsia="en-GB"/>
              </w:rPr>
              <w:t xml:space="preserve">                70,000 </w:t>
            </w:r>
          </w:p>
        </w:tc>
      </w:tr>
    </w:tbl>
    <w:p w:rsidR="00B42B3F" w:rsidRPr="00B42B3F" w:rsidRDefault="00B42B3F" w:rsidP="00B42B3F">
      <w:pPr>
        <w:rPr>
          <w:rFonts w:cs="Arial"/>
        </w:rPr>
      </w:pPr>
    </w:p>
    <w:p w:rsidR="00061782" w:rsidRPr="007B1BF1" w:rsidRDefault="00061782" w:rsidP="00061782">
      <w:pPr>
        <w:rPr>
          <w:sz w:val="22"/>
          <w:szCs w:val="22"/>
        </w:rPr>
      </w:pPr>
    </w:p>
    <w:p w:rsidR="00061782" w:rsidRPr="00587E31" w:rsidRDefault="00061782" w:rsidP="00061782">
      <w:pPr>
        <w:rPr>
          <w:b/>
          <w:sz w:val="22"/>
          <w:szCs w:val="22"/>
          <w:u w:val="single"/>
        </w:rPr>
      </w:pPr>
      <w:r w:rsidRPr="00587E31">
        <w:rPr>
          <w:b/>
          <w:sz w:val="22"/>
          <w:szCs w:val="22"/>
          <w:u w:val="single"/>
        </w:rPr>
        <w:t>Doncaster Smoke-free services</w:t>
      </w:r>
    </w:p>
    <w:p w:rsidR="00061782" w:rsidRPr="007B1BF1" w:rsidRDefault="00061782" w:rsidP="00061782">
      <w:pPr>
        <w:rPr>
          <w:sz w:val="22"/>
          <w:szCs w:val="22"/>
        </w:rPr>
      </w:pPr>
    </w:p>
    <w:p w:rsidR="00F05207" w:rsidRDefault="00F05207" w:rsidP="00F05207">
      <w:pPr>
        <w:rPr>
          <w:i/>
          <w:sz w:val="22"/>
          <w:szCs w:val="22"/>
        </w:rPr>
      </w:pPr>
      <w:r>
        <w:rPr>
          <w:i/>
          <w:sz w:val="22"/>
          <w:szCs w:val="22"/>
        </w:rPr>
        <w:t xml:space="preserve">The Description of Service Area </w:t>
      </w:r>
    </w:p>
    <w:p w:rsidR="004B25B6" w:rsidRPr="00606D44" w:rsidRDefault="004B25B6" w:rsidP="00061782">
      <w:pPr>
        <w:rPr>
          <w:rFonts w:cs="Arial"/>
          <w:sz w:val="22"/>
          <w:szCs w:val="22"/>
        </w:rPr>
      </w:pPr>
    </w:p>
    <w:p w:rsidR="00061782" w:rsidRPr="00606D44" w:rsidRDefault="00061782" w:rsidP="00823F6A">
      <w:pPr>
        <w:spacing w:after="200" w:line="276" w:lineRule="auto"/>
        <w:jc w:val="both"/>
        <w:rPr>
          <w:rFonts w:cs="Arial"/>
          <w:sz w:val="22"/>
          <w:szCs w:val="22"/>
        </w:rPr>
      </w:pPr>
      <w:r w:rsidRPr="00606D44">
        <w:rPr>
          <w:rFonts w:cs="Arial"/>
          <w:sz w:val="22"/>
          <w:szCs w:val="22"/>
        </w:rPr>
        <w:t xml:space="preserve">The average national </w:t>
      </w:r>
      <w:r w:rsidR="009C4A54">
        <w:rPr>
          <w:rFonts w:cs="Arial"/>
          <w:sz w:val="22"/>
          <w:szCs w:val="22"/>
        </w:rPr>
        <w:t xml:space="preserve">(England) </w:t>
      </w:r>
      <w:r w:rsidRPr="00606D44">
        <w:rPr>
          <w:rFonts w:cs="Arial"/>
          <w:sz w:val="22"/>
          <w:szCs w:val="22"/>
        </w:rPr>
        <w:t>prevalence of smoking is 16.9%, whereas Doncaster prevalence of smoking is 19.6%. Smoking related mortality is also higher in Doncaster than the national average. An effective Doncaster smoke free service will reduce smoking prevalence and decrease smoking</w:t>
      </w:r>
      <w:r w:rsidR="009C4A54">
        <w:rPr>
          <w:rFonts w:cs="Arial"/>
          <w:sz w:val="22"/>
          <w:szCs w:val="22"/>
        </w:rPr>
        <w:t>-</w:t>
      </w:r>
      <w:r w:rsidRPr="00606D44">
        <w:rPr>
          <w:rFonts w:cs="Arial"/>
          <w:sz w:val="22"/>
          <w:szCs w:val="22"/>
        </w:rPr>
        <w:t>related mortality.</w:t>
      </w:r>
    </w:p>
    <w:p w:rsidR="00F05207" w:rsidRPr="00606D44" w:rsidRDefault="00F05207" w:rsidP="00823F6A">
      <w:pPr>
        <w:spacing w:after="200" w:line="276" w:lineRule="auto"/>
        <w:jc w:val="both"/>
        <w:rPr>
          <w:rFonts w:cs="Arial"/>
          <w:sz w:val="22"/>
          <w:szCs w:val="22"/>
        </w:rPr>
      </w:pPr>
    </w:p>
    <w:p w:rsidR="00606D44" w:rsidRPr="00606D44" w:rsidRDefault="00606D44" w:rsidP="00823F6A">
      <w:pPr>
        <w:spacing w:after="200" w:line="276" w:lineRule="auto"/>
        <w:jc w:val="both"/>
        <w:rPr>
          <w:rFonts w:cs="Arial"/>
          <w:bCs/>
          <w:sz w:val="22"/>
          <w:szCs w:val="22"/>
        </w:rPr>
      </w:pPr>
      <w:r w:rsidRPr="00606D44">
        <w:rPr>
          <w:rFonts w:cs="Arial"/>
          <w:bCs/>
          <w:sz w:val="22"/>
          <w:szCs w:val="22"/>
        </w:rPr>
        <w:lastRenderedPageBreak/>
        <w:t xml:space="preserve">The Provider will provide evidence based stop smoking support to people who are motivated to quit tailored to their level of addiction, quitting and medical history, personal factors and socio-economic classification. There is currently little evidence that smokeless tobacco and niche tobacco products are used significantly within Doncaster however the provider should assume that where clients use these products the appropriate level of support should be provided. The service should respond to the increasing use of electronic cigarettes by providing appropriate support to individuals who choose to change their </w:t>
      </w:r>
      <w:proofErr w:type="spellStart"/>
      <w:r w:rsidRPr="00606D44">
        <w:rPr>
          <w:rFonts w:cs="Arial"/>
          <w:bCs/>
          <w:sz w:val="22"/>
          <w:szCs w:val="22"/>
        </w:rPr>
        <w:t>behaviour</w:t>
      </w:r>
      <w:proofErr w:type="spellEnd"/>
      <w:r w:rsidRPr="00606D44">
        <w:rPr>
          <w:rFonts w:cs="Arial"/>
          <w:bCs/>
          <w:sz w:val="22"/>
          <w:szCs w:val="22"/>
        </w:rPr>
        <w:t xml:space="preserve"> by using these products.</w:t>
      </w:r>
    </w:p>
    <w:p w:rsidR="00606D44" w:rsidRPr="00606D44" w:rsidRDefault="00606D44" w:rsidP="00823F6A">
      <w:pPr>
        <w:spacing w:after="200" w:line="276" w:lineRule="auto"/>
        <w:jc w:val="both"/>
        <w:rPr>
          <w:rFonts w:cs="Arial"/>
          <w:b/>
          <w:bCs/>
          <w:sz w:val="22"/>
          <w:szCs w:val="22"/>
        </w:rPr>
      </w:pPr>
    </w:p>
    <w:p w:rsidR="00606D44" w:rsidRDefault="00606D44" w:rsidP="00823F6A">
      <w:pPr>
        <w:spacing w:after="200" w:line="276" w:lineRule="auto"/>
        <w:jc w:val="both"/>
        <w:rPr>
          <w:rFonts w:cs="Arial"/>
          <w:bCs/>
          <w:sz w:val="22"/>
          <w:szCs w:val="22"/>
        </w:rPr>
      </w:pPr>
      <w:r w:rsidRPr="00606D44">
        <w:rPr>
          <w:rFonts w:cs="Arial"/>
          <w:bCs/>
          <w:sz w:val="22"/>
          <w:szCs w:val="22"/>
        </w:rPr>
        <w:t>Pathway</w:t>
      </w:r>
      <w:r>
        <w:rPr>
          <w:rFonts w:cs="Arial"/>
          <w:bCs/>
          <w:sz w:val="22"/>
          <w:szCs w:val="22"/>
        </w:rPr>
        <w:t xml:space="preserve"> of the Smoke-free service is shown below (Figure </w:t>
      </w:r>
      <w:r w:rsidR="000A1B52">
        <w:rPr>
          <w:rFonts w:cs="Arial"/>
          <w:bCs/>
          <w:sz w:val="22"/>
          <w:szCs w:val="22"/>
        </w:rPr>
        <w:t>9</w:t>
      </w:r>
      <w:r>
        <w:rPr>
          <w:rFonts w:cs="Arial"/>
          <w:bCs/>
          <w:sz w:val="22"/>
          <w:szCs w:val="22"/>
        </w:rPr>
        <w:t>).</w:t>
      </w:r>
    </w:p>
    <w:p w:rsidR="00606D44" w:rsidRDefault="00606D44" w:rsidP="00606D44">
      <w:pPr>
        <w:rPr>
          <w:rFonts w:cs="Arial"/>
          <w:bCs/>
          <w:sz w:val="22"/>
          <w:szCs w:val="22"/>
        </w:rPr>
      </w:pPr>
      <w:r w:rsidRPr="008B5459">
        <w:rPr>
          <w:rFonts w:cs="Arial"/>
          <w:b/>
          <w:bCs/>
          <w:sz w:val="22"/>
          <w:szCs w:val="22"/>
        </w:rPr>
        <w:t xml:space="preserve">Figure </w:t>
      </w:r>
      <w:r w:rsidR="000A1B52">
        <w:rPr>
          <w:rFonts w:cs="Arial"/>
          <w:b/>
          <w:bCs/>
          <w:sz w:val="22"/>
          <w:szCs w:val="22"/>
        </w:rPr>
        <w:t>9</w:t>
      </w:r>
      <w:r w:rsidRPr="008B5459">
        <w:rPr>
          <w:rFonts w:cs="Arial"/>
          <w:b/>
          <w:bCs/>
          <w:sz w:val="22"/>
          <w:szCs w:val="22"/>
        </w:rPr>
        <w:t>:</w:t>
      </w:r>
      <w:r>
        <w:rPr>
          <w:rFonts w:cs="Arial"/>
          <w:bCs/>
          <w:sz w:val="22"/>
          <w:szCs w:val="22"/>
        </w:rPr>
        <w:t xml:space="preserve"> Pathway to Doncaster Smoke-free Service</w:t>
      </w:r>
    </w:p>
    <w:p w:rsidR="00606D44" w:rsidRPr="00606D44" w:rsidRDefault="00606D44" w:rsidP="00606D44">
      <w:pPr>
        <w:rPr>
          <w:rFonts w:cs="Arial"/>
          <w:bCs/>
          <w:sz w:val="22"/>
          <w:szCs w:val="22"/>
        </w:rPr>
      </w:pPr>
    </w:p>
    <w:p w:rsidR="00606D44" w:rsidRPr="00606D44" w:rsidRDefault="00606D44" w:rsidP="00606D44">
      <w:pPr>
        <w:rPr>
          <w:rFonts w:cs="Arial"/>
          <w:b/>
          <w:bCs/>
          <w:sz w:val="22"/>
          <w:szCs w:val="22"/>
        </w:rPr>
      </w:pPr>
      <w:r w:rsidRPr="00606D44">
        <w:rPr>
          <w:rFonts w:cs="Arial"/>
          <w:b/>
          <w:bCs/>
          <w:noProof/>
          <w:sz w:val="22"/>
          <w:szCs w:val="22"/>
          <w:lang w:val="en-GB" w:eastAsia="en-GB"/>
        </w:rPr>
        <w:drawing>
          <wp:inline distT="0" distB="0" distL="0" distR="0" wp14:anchorId="6BF24A22" wp14:editId="4912E7E6">
            <wp:extent cx="5813946" cy="5690329"/>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1649" cy="5697868"/>
                    </a:xfrm>
                    <a:prstGeom prst="rect">
                      <a:avLst/>
                    </a:prstGeom>
                    <a:noFill/>
                  </pic:spPr>
                </pic:pic>
              </a:graphicData>
            </a:graphic>
          </wp:inline>
        </w:drawing>
      </w:r>
    </w:p>
    <w:p w:rsidR="00606D44" w:rsidRPr="00606D44" w:rsidRDefault="00606D44" w:rsidP="00606D44">
      <w:pPr>
        <w:rPr>
          <w:rFonts w:cs="Arial"/>
          <w:b/>
          <w:bCs/>
          <w:sz w:val="22"/>
          <w:szCs w:val="22"/>
        </w:rPr>
      </w:pPr>
    </w:p>
    <w:p w:rsidR="00606D44" w:rsidRPr="009C4A54" w:rsidRDefault="00606D44" w:rsidP="00823F6A">
      <w:pPr>
        <w:spacing w:after="200"/>
        <w:jc w:val="both"/>
        <w:rPr>
          <w:rFonts w:cs="Arial"/>
          <w:bCs/>
          <w:sz w:val="22"/>
          <w:szCs w:val="22"/>
        </w:rPr>
      </w:pPr>
      <w:r w:rsidRPr="00606D44">
        <w:rPr>
          <w:rFonts w:cs="Arial"/>
          <w:bCs/>
          <w:sz w:val="22"/>
          <w:szCs w:val="22"/>
        </w:rPr>
        <w:t xml:space="preserve">The Commissioners will allow the main provider to use sub-contractors to deliver stop smoking support, subject to their having achieved the appropriate levels of competence. The </w:t>
      </w:r>
      <w:r w:rsidRPr="00606D44">
        <w:rPr>
          <w:rFonts w:cs="Arial"/>
          <w:bCs/>
          <w:sz w:val="22"/>
          <w:szCs w:val="22"/>
        </w:rPr>
        <w:lastRenderedPageBreak/>
        <w:t>provider will remain responsible for clinical and financial governance and quality assurance of any sub-</w:t>
      </w:r>
      <w:r w:rsidRPr="009C4A54">
        <w:rPr>
          <w:rFonts w:cs="Arial"/>
          <w:bCs/>
          <w:sz w:val="22"/>
          <w:szCs w:val="22"/>
        </w:rPr>
        <w:t xml:space="preserve">contractors. </w:t>
      </w:r>
    </w:p>
    <w:p w:rsidR="00F05207" w:rsidRPr="009C4A54" w:rsidRDefault="00F05207" w:rsidP="00823F6A">
      <w:pPr>
        <w:spacing w:after="200"/>
        <w:jc w:val="both"/>
        <w:rPr>
          <w:rFonts w:cs="Arial"/>
          <w:i/>
          <w:sz w:val="22"/>
          <w:szCs w:val="22"/>
        </w:rPr>
      </w:pPr>
      <w:r w:rsidRPr="009C4A54">
        <w:rPr>
          <w:i/>
          <w:sz w:val="22"/>
          <w:szCs w:val="22"/>
        </w:rPr>
        <w:t>Outcomes</w:t>
      </w:r>
    </w:p>
    <w:p w:rsidR="00F05207" w:rsidRPr="009C4A54" w:rsidRDefault="00F05207" w:rsidP="00823F6A">
      <w:pPr>
        <w:pStyle w:val="ListParagraph"/>
        <w:numPr>
          <w:ilvl w:val="0"/>
          <w:numId w:val="18"/>
        </w:numPr>
        <w:suppressAutoHyphens/>
        <w:spacing w:line="240" w:lineRule="auto"/>
        <w:contextualSpacing w:val="0"/>
        <w:jc w:val="both"/>
        <w:rPr>
          <w:rFonts w:ascii="Arial" w:hAnsi="Arial" w:cs="Arial"/>
          <w:bCs/>
        </w:rPr>
      </w:pPr>
      <w:r w:rsidRPr="009C4A54">
        <w:rPr>
          <w:rFonts w:ascii="Arial" w:hAnsi="Arial" w:cs="Arial"/>
          <w:bCs/>
        </w:rPr>
        <w:t xml:space="preserve">All clients to  be offered individualised support commencing within 5 working days </w:t>
      </w:r>
    </w:p>
    <w:p w:rsidR="00F05207" w:rsidRPr="009C4A54" w:rsidRDefault="00F05207" w:rsidP="00823F6A">
      <w:pPr>
        <w:pStyle w:val="ListParagraph"/>
        <w:numPr>
          <w:ilvl w:val="0"/>
          <w:numId w:val="18"/>
        </w:numPr>
        <w:suppressAutoHyphens/>
        <w:spacing w:line="240" w:lineRule="auto"/>
        <w:contextualSpacing w:val="0"/>
        <w:jc w:val="both"/>
        <w:rPr>
          <w:rFonts w:ascii="Arial" w:hAnsi="Arial" w:cs="Arial"/>
          <w:bCs/>
        </w:rPr>
      </w:pPr>
      <w:r w:rsidRPr="009C4A54">
        <w:rPr>
          <w:rFonts w:ascii="Arial" w:hAnsi="Arial" w:cs="Arial"/>
          <w:bCs/>
        </w:rPr>
        <w:t>A quit rate of a minimum of 50% measured at 4-weeks for support with medication</w:t>
      </w:r>
    </w:p>
    <w:p w:rsidR="00F05207" w:rsidRPr="009C4A54" w:rsidRDefault="00F05207" w:rsidP="00823F6A">
      <w:pPr>
        <w:pStyle w:val="ListParagraph"/>
        <w:numPr>
          <w:ilvl w:val="0"/>
          <w:numId w:val="18"/>
        </w:numPr>
        <w:suppressAutoHyphens/>
        <w:spacing w:line="240" w:lineRule="auto"/>
        <w:contextualSpacing w:val="0"/>
        <w:jc w:val="both"/>
        <w:rPr>
          <w:rFonts w:ascii="Arial" w:hAnsi="Arial" w:cs="Arial"/>
          <w:bCs/>
        </w:rPr>
      </w:pPr>
      <w:r w:rsidRPr="009C4A54">
        <w:rPr>
          <w:rFonts w:ascii="Arial" w:hAnsi="Arial" w:cs="Arial"/>
          <w:bCs/>
        </w:rPr>
        <w:t>A quit rate of a minimum of 40% measured by self-report at 4 weeks for support without provision of medication</w:t>
      </w:r>
    </w:p>
    <w:p w:rsidR="00F05207" w:rsidRPr="009C4A54" w:rsidRDefault="00F05207" w:rsidP="00823F6A">
      <w:pPr>
        <w:pStyle w:val="ListParagraph"/>
        <w:numPr>
          <w:ilvl w:val="0"/>
          <w:numId w:val="18"/>
        </w:numPr>
        <w:suppressAutoHyphens/>
        <w:spacing w:line="240" w:lineRule="auto"/>
        <w:contextualSpacing w:val="0"/>
        <w:jc w:val="both"/>
        <w:rPr>
          <w:rFonts w:ascii="Arial" w:hAnsi="Arial" w:cs="Arial"/>
          <w:bCs/>
        </w:rPr>
      </w:pPr>
      <w:r w:rsidRPr="009C4A54">
        <w:rPr>
          <w:rFonts w:ascii="Arial" w:hAnsi="Arial" w:cs="Arial"/>
          <w:bCs/>
        </w:rPr>
        <w:t>Behaviour change at 6-months. 50% of those reported as quit at 4-weeks to remain abstinent.</w:t>
      </w:r>
    </w:p>
    <w:p w:rsidR="00F05207" w:rsidRPr="009C4A54" w:rsidRDefault="00F05207" w:rsidP="00823F6A">
      <w:pPr>
        <w:pStyle w:val="ListParagraph"/>
        <w:numPr>
          <w:ilvl w:val="0"/>
          <w:numId w:val="18"/>
        </w:numPr>
        <w:suppressAutoHyphens/>
        <w:spacing w:line="240" w:lineRule="auto"/>
        <w:contextualSpacing w:val="0"/>
        <w:jc w:val="both"/>
        <w:rPr>
          <w:rFonts w:ascii="Arial" w:hAnsi="Arial" w:cs="Arial"/>
          <w:bCs/>
        </w:rPr>
      </w:pPr>
      <w:r w:rsidRPr="009C4A54">
        <w:rPr>
          <w:rFonts w:ascii="Arial" w:hAnsi="Arial" w:cs="Arial"/>
          <w:bCs/>
        </w:rPr>
        <w:t xml:space="preserve">Client reported satisfaction rates to exceed 80%. </w:t>
      </w:r>
    </w:p>
    <w:p w:rsidR="00F05207" w:rsidRPr="009C4A54" w:rsidRDefault="00F05207" w:rsidP="00823F6A">
      <w:pPr>
        <w:pStyle w:val="ListParagraph"/>
        <w:numPr>
          <w:ilvl w:val="0"/>
          <w:numId w:val="18"/>
        </w:numPr>
        <w:suppressAutoHyphens/>
        <w:spacing w:line="240" w:lineRule="auto"/>
        <w:contextualSpacing w:val="0"/>
        <w:jc w:val="both"/>
        <w:rPr>
          <w:rFonts w:ascii="Arial" w:hAnsi="Arial" w:cs="Arial"/>
          <w:bCs/>
        </w:rPr>
      </w:pPr>
      <w:r w:rsidRPr="009C4A54">
        <w:rPr>
          <w:rFonts w:ascii="Arial" w:hAnsi="Arial" w:cs="Arial"/>
          <w:bCs/>
        </w:rPr>
        <w:t>Containing prescribing costs within a fixed prescribing budget</w:t>
      </w:r>
    </w:p>
    <w:p w:rsidR="00F05207" w:rsidRPr="009C4A54" w:rsidRDefault="00F05207" w:rsidP="00823F6A">
      <w:pPr>
        <w:pStyle w:val="ListParagraph"/>
        <w:numPr>
          <w:ilvl w:val="0"/>
          <w:numId w:val="18"/>
        </w:numPr>
        <w:suppressAutoHyphens/>
        <w:spacing w:line="240" w:lineRule="auto"/>
        <w:contextualSpacing w:val="0"/>
        <w:jc w:val="both"/>
        <w:rPr>
          <w:rFonts w:ascii="Arial" w:hAnsi="Arial" w:cs="Arial"/>
          <w:bCs/>
        </w:rPr>
      </w:pPr>
      <w:r w:rsidRPr="009C4A54">
        <w:rPr>
          <w:rFonts w:ascii="Arial" w:hAnsi="Arial" w:cs="Arial"/>
          <w:bCs/>
        </w:rPr>
        <w:t xml:space="preserve">Meeting the activity targets for quitting smoking, see below table.  </w:t>
      </w:r>
    </w:p>
    <w:p w:rsidR="00F05207" w:rsidRPr="009C4A54" w:rsidRDefault="00F05207" w:rsidP="00823F6A">
      <w:pPr>
        <w:pStyle w:val="BodyText"/>
        <w:spacing w:after="200"/>
        <w:jc w:val="both"/>
        <w:rPr>
          <w:rFonts w:ascii="Arial" w:hAnsi="Arial" w:cs="Arial"/>
          <w:bCs/>
        </w:rPr>
      </w:pPr>
    </w:p>
    <w:p w:rsidR="00F05207" w:rsidRDefault="00F05207" w:rsidP="00061782">
      <w:pPr>
        <w:rPr>
          <w:sz w:val="22"/>
          <w:szCs w:val="22"/>
        </w:rPr>
      </w:pPr>
    </w:p>
    <w:p w:rsidR="00700680" w:rsidRPr="00C44D02" w:rsidRDefault="00700680" w:rsidP="00700680">
      <w:pPr>
        <w:rPr>
          <w:rFonts w:asciiTheme="minorHAnsi" w:hAnsiTheme="minorHAnsi" w:cstheme="minorHAnsi"/>
          <w:b/>
          <w:sz w:val="22"/>
          <w:szCs w:val="22"/>
        </w:rPr>
      </w:pPr>
      <w:r w:rsidRPr="00490CEF">
        <w:rPr>
          <w:b/>
          <w:sz w:val="22"/>
          <w:szCs w:val="22"/>
        </w:rPr>
        <w:t xml:space="preserve">Table </w:t>
      </w:r>
      <w:r w:rsidR="00961995">
        <w:rPr>
          <w:b/>
          <w:sz w:val="22"/>
          <w:szCs w:val="22"/>
        </w:rPr>
        <w:t>9</w:t>
      </w:r>
      <w:r w:rsidRPr="00490CEF">
        <w:rPr>
          <w:b/>
          <w:sz w:val="22"/>
          <w:szCs w:val="22"/>
        </w:rPr>
        <w:t>:</w:t>
      </w:r>
      <w:r>
        <w:rPr>
          <w:sz w:val="22"/>
          <w:szCs w:val="22"/>
        </w:rPr>
        <w:t xml:space="preserve"> </w:t>
      </w:r>
      <w:r w:rsidRPr="00490CEF">
        <w:rPr>
          <w:rFonts w:cs="Arial"/>
          <w:sz w:val="22"/>
          <w:szCs w:val="22"/>
        </w:rPr>
        <w:t>Activity Schedule: activity per annum with regard to seasonal variation above</w:t>
      </w:r>
    </w:p>
    <w:p w:rsidR="00700680" w:rsidRPr="007B1BF1" w:rsidRDefault="00700680" w:rsidP="00061782">
      <w:pPr>
        <w:rPr>
          <w:sz w:val="22"/>
          <w:szCs w:val="22"/>
        </w:rPr>
      </w:pPr>
    </w:p>
    <w:tbl>
      <w:tblPr>
        <w:tblStyle w:val="TableGrid"/>
        <w:tblW w:w="0" w:type="auto"/>
        <w:tblInd w:w="-34" w:type="dxa"/>
        <w:tblLook w:val="04A0" w:firstRow="1" w:lastRow="0" w:firstColumn="1" w:lastColumn="0" w:noHBand="0" w:noVBand="1"/>
      </w:tblPr>
      <w:tblGrid>
        <w:gridCol w:w="1725"/>
        <w:gridCol w:w="1959"/>
        <w:gridCol w:w="1913"/>
        <w:gridCol w:w="1691"/>
      </w:tblGrid>
      <w:tr w:rsidR="0076651B" w:rsidRPr="00C44D02" w:rsidTr="00490CEF">
        <w:tc>
          <w:tcPr>
            <w:tcW w:w="1725" w:type="dxa"/>
          </w:tcPr>
          <w:p w:rsidR="0076651B" w:rsidRPr="00DF2A7D" w:rsidRDefault="0076651B" w:rsidP="00DB432D">
            <w:pPr>
              <w:jc w:val="right"/>
              <w:rPr>
                <w:rFonts w:cs="Arial"/>
                <w:b/>
                <w:sz w:val="22"/>
                <w:szCs w:val="22"/>
              </w:rPr>
            </w:pPr>
          </w:p>
        </w:tc>
        <w:tc>
          <w:tcPr>
            <w:tcW w:w="1959" w:type="dxa"/>
          </w:tcPr>
          <w:p w:rsidR="0076651B" w:rsidRPr="00DF2A7D" w:rsidRDefault="0076651B" w:rsidP="00DB432D">
            <w:pPr>
              <w:jc w:val="center"/>
              <w:rPr>
                <w:rFonts w:cs="Arial"/>
                <w:b/>
                <w:sz w:val="22"/>
                <w:szCs w:val="22"/>
              </w:rPr>
            </w:pPr>
            <w:r w:rsidRPr="00DF2A7D">
              <w:rPr>
                <w:rFonts w:cs="Arial"/>
                <w:b/>
                <w:sz w:val="22"/>
                <w:szCs w:val="22"/>
              </w:rPr>
              <w:t>2018/19</w:t>
            </w:r>
          </w:p>
        </w:tc>
        <w:tc>
          <w:tcPr>
            <w:tcW w:w="1913" w:type="dxa"/>
          </w:tcPr>
          <w:p w:rsidR="0076651B" w:rsidRPr="00DF2A7D" w:rsidRDefault="0076651B" w:rsidP="00DB432D">
            <w:pPr>
              <w:jc w:val="center"/>
              <w:rPr>
                <w:rFonts w:cs="Arial"/>
                <w:b/>
                <w:sz w:val="22"/>
                <w:szCs w:val="22"/>
              </w:rPr>
            </w:pPr>
            <w:r w:rsidRPr="00DF2A7D">
              <w:rPr>
                <w:rFonts w:cs="Arial"/>
                <w:b/>
                <w:sz w:val="22"/>
                <w:szCs w:val="22"/>
              </w:rPr>
              <w:t>2019/20</w:t>
            </w:r>
          </w:p>
        </w:tc>
        <w:tc>
          <w:tcPr>
            <w:tcW w:w="1691" w:type="dxa"/>
          </w:tcPr>
          <w:p w:rsidR="0076651B" w:rsidRPr="00DF2A7D" w:rsidRDefault="0076651B" w:rsidP="00DB432D">
            <w:pPr>
              <w:jc w:val="center"/>
              <w:rPr>
                <w:rFonts w:cs="Arial"/>
                <w:b/>
                <w:sz w:val="22"/>
                <w:szCs w:val="22"/>
              </w:rPr>
            </w:pPr>
            <w:r w:rsidRPr="00DF2A7D">
              <w:rPr>
                <w:rFonts w:cs="Arial"/>
                <w:b/>
                <w:sz w:val="22"/>
                <w:szCs w:val="22"/>
              </w:rPr>
              <w:t>2020/21</w:t>
            </w:r>
          </w:p>
        </w:tc>
      </w:tr>
      <w:tr w:rsidR="0076651B" w:rsidRPr="00C44D02" w:rsidTr="00490CEF">
        <w:tc>
          <w:tcPr>
            <w:tcW w:w="1725" w:type="dxa"/>
          </w:tcPr>
          <w:p w:rsidR="0076651B" w:rsidRPr="00DF2A7D" w:rsidRDefault="0076651B" w:rsidP="00DB432D">
            <w:pPr>
              <w:rPr>
                <w:rFonts w:cs="Arial"/>
                <w:sz w:val="22"/>
                <w:szCs w:val="22"/>
              </w:rPr>
            </w:pPr>
            <w:r w:rsidRPr="00DF2A7D">
              <w:rPr>
                <w:rFonts w:cs="Arial"/>
                <w:sz w:val="22"/>
                <w:szCs w:val="22"/>
              </w:rPr>
              <w:t>Quits with medication</w:t>
            </w:r>
          </w:p>
        </w:tc>
        <w:tc>
          <w:tcPr>
            <w:tcW w:w="1959" w:type="dxa"/>
            <w:vAlign w:val="center"/>
          </w:tcPr>
          <w:p w:rsidR="0076651B" w:rsidRPr="00DF2A7D" w:rsidRDefault="0076651B" w:rsidP="00DB432D">
            <w:pPr>
              <w:jc w:val="center"/>
              <w:rPr>
                <w:rFonts w:cs="Arial"/>
                <w:sz w:val="22"/>
                <w:szCs w:val="22"/>
              </w:rPr>
            </w:pPr>
            <w:r w:rsidRPr="00DF2A7D">
              <w:rPr>
                <w:rFonts w:cs="Arial"/>
                <w:sz w:val="22"/>
                <w:szCs w:val="22"/>
              </w:rPr>
              <w:t>1670</w:t>
            </w:r>
          </w:p>
        </w:tc>
        <w:tc>
          <w:tcPr>
            <w:tcW w:w="1913" w:type="dxa"/>
            <w:vAlign w:val="center"/>
          </w:tcPr>
          <w:p w:rsidR="0076651B" w:rsidRPr="00DF2A7D" w:rsidRDefault="0076651B" w:rsidP="00DB432D">
            <w:pPr>
              <w:jc w:val="center"/>
              <w:rPr>
                <w:rFonts w:cs="Arial"/>
                <w:sz w:val="22"/>
                <w:szCs w:val="22"/>
              </w:rPr>
            </w:pPr>
            <w:r w:rsidRPr="00DF2A7D">
              <w:rPr>
                <w:rFonts w:cs="Arial"/>
                <w:sz w:val="22"/>
                <w:szCs w:val="22"/>
              </w:rPr>
              <w:t>1670</w:t>
            </w:r>
          </w:p>
        </w:tc>
        <w:tc>
          <w:tcPr>
            <w:tcW w:w="1691" w:type="dxa"/>
            <w:vAlign w:val="center"/>
          </w:tcPr>
          <w:p w:rsidR="0076651B" w:rsidRPr="00DF2A7D" w:rsidRDefault="0076651B" w:rsidP="00DB432D">
            <w:pPr>
              <w:jc w:val="center"/>
              <w:rPr>
                <w:rFonts w:cs="Arial"/>
                <w:sz w:val="22"/>
                <w:szCs w:val="22"/>
              </w:rPr>
            </w:pPr>
            <w:r w:rsidRPr="00DF2A7D">
              <w:rPr>
                <w:rFonts w:cs="Arial"/>
                <w:sz w:val="22"/>
                <w:szCs w:val="22"/>
              </w:rPr>
              <w:t>1670</w:t>
            </w:r>
          </w:p>
        </w:tc>
      </w:tr>
      <w:tr w:rsidR="0076651B" w:rsidRPr="00C44D02" w:rsidTr="00490CEF">
        <w:tc>
          <w:tcPr>
            <w:tcW w:w="1725" w:type="dxa"/>
          </w:tcPr>
          <w:p w:rsidR="0076651B" w:rsidRPr="00DF2A7D" w:rsidRDefault="0076651B" w:rsidP="00DB432D">
            <w:pPr>
              <w:rPr>
                <w:rFonts w:cs="Arial"/>
                <w:sz w:val="22"/>
                <w:szCs w:val="22"/>
              </w:rPr>
            </w:pPr>
            <w:r w:rsidRPr="00DF2A7D">
              <w:rPr>
                <w:rFonts w:cs="Arial"/>
                <w:sz w:val="22"/>
                <w:szCs w:val="22"/>
              </w:rPr>
              <w:t>Quits initiated no medication*</w:t>
            </w:r>
          </w:p>
        </w:tc>
        <w:tc>
          <w:tcPr>
            <w:tcW w:w="1959" w:type="dxa"/>
            <w:vAlign w:val="center"/>
          </w:tcPr>
          <w:p w:rsidR="0076651B" w:rsidRPr="00DF2A7D" w:rsidRDefault="0076651B" w:rsidP="00DB432D">
            <w:pPr>
              <w:jc w:val="center"/>
              <w:rPr>
                <w:rFonts w:cs="Arial"/>
                <w:sz w:val="22"/>
                <w:szCs w:val="22"/>
              </w:rPr>
            </w:pPr>
            <w:r w:rsidRPr="00DF2A7D">
              <w:rPr>
                <w:rFonts w:cs="Arial"/>
                <w:sz w:val="22"/>
                <w:szCs w:val="22"/>
              </w:rPr>
              <w:t>4500</w:t>
            </w:r>
          </w:p>
        </w:tc>
        <w:tc>
          <w:tcPr>
            <w:tcW w:w="1913" w:type="dxa"/>
            <w:vAlign w:val="center"/>
          </w:tcPr>
          <w:p w:rsidR="0076651B" w:rsidRPr="00DF2A7D" w:rsidRDefault="0076651B" w:rsidP="00DB432D">
            <w:pPr>
              <w:jc w:val="center"/>
              <w:rPr>
                <w:rFonts w:cs="Arial"/>
                <w:sz w:val="22"/>
                <w:szCs w:val="22"/>
              </w:rPr>
            </w:pPr>
            <w:r w:rsidRPr="00DF2A7D">
              <w:rPr>
                <w:rFonts w:cs="Arial"/>
                <w:sz w:val="22"/>
                <w:szCs w:val="22"/>
              </w:rPr>
              <w:t>4500</w:t>
            </w:r>
          </w:p>
        </w:tc>
        <w:tc>
          <w:tcPr>
            <w:tcW w:w="1691" w:type="dxa"/>
            <w:vAlign w:val="center"/>
          </w:tcPr>
          <w:p w:rsidR="0076651B" w:rsidRPr="00DF2A7D" w:rsidRDefault="0076651B" w:rsidP="00DB432D">
            <w:pPr>
              <w:jc w:val="center"/>
              <w:rPr>
                <w:rFonts w:cs="Arial"/>
                <w:sz w:val="22"/>
                <w:szCs w:val="22"/>
              </w:rPr>
            </w:pPr>
            <w:r w:rsidRPr="00DF2A7D">
              <w:rPr>
                <w:rFonts w:cs="Arial"/>
                <w:sz w:val="22"/>
                <w:szCs w:val="22"/>
              </w:rPr>
              <w:t>4500</w:t>
            </w:r>
          </w:p>
        </w:tc>
      </w:tr>
    </w:tbl>
    <w:p w:rsidR="00F05207" w:rsidRPr="00C44D02" w:rsidRDefault="00F05207" w:rsidP="00F05207">
      <w:pPr>
        <w:rPr>
          <w:rFonts w:asciiTheme="minorHAnsi" w:hAnsiTheme="minorHAnsi" w:cstheme="minorHAnsi"/>
          <w:sz w:val="22"/>
          <w:szCs w:val="22"/>
        </w:rPr>
      </w:pPr>
    </w:p>
    <w:p w:rsidR="00F05207" w:rsidRPr="00C44D02" w:rsidRDefault="00F05207" w:rsidP="00F05207">
      <w:pPr>
        <w:rPr>
          <w:rFonts w:asciiTheme="minorHAnsi" w:hAnsiTheme="minorHAnsi" w:cstheme="minorHAnsi"/>
          <w:sz w:val="22"/>
          <w:szCs w:val="22"/>
        </w:rPr>
      </w:pPr>
      <w:r w:rsidRPr="00C44D02">
        <w:rPr>
          <w:rFonts w:asciiTheme="minorHAnsi" w:hAnsiTheme="minorHAnsi" w:cstheme="minorHAnsi"/>
          <w:sz w:val="22"/>
          <w:szCs w:val="22"/>
        </w:rPr>
        <w:t>*Text, internet, quit kit, e-cigarette etc. self-validated by sampling</w:t>
      </w:r>
    </w:p>
    <w:p w:rsidR="00061782" w:rsidRDefault="00061782" w:rsidP="00061782">
      <w:pPr>
        <w:rPr>
          <w:sz w:val="22"/>
          <w:szCs w:val="22"/>
        </w:rPr>
      </w:pPr>
    </w:p>
    <w:p w:rsidR="00606D44" w:rsidRPr="00606D44" w:rsidRDefault="00606D44" w:rsidP="00606D44">
      <w:pPr>
        <w:rPr>
          <w:i/>
          <w:sz w:val="22"/>
        </w:rPr>
      </w:pPr>
      <w:r w:rsidRPr="00606D44">
        <w:rPr>
          <w:i/>
          <w:sz w:val="22"/>
        </w:rPr>
        <w:t>The Proposed Actions</w:t>
      </w:r>
    </w:p>
    <w:p w:rsidR="00B42B3F" w:rsidRDefault="00B42B3F" w:rsidP="00061782">
      <w:pPr>
        <w:rPr>
          <w:sz w:val="22"/>
          <w:szCs w:val="22"/>
        </w:rPr>
      </w:pPr>
    </w:p>
    <w:p w:rsidR="001D51C5" w:rsidRPr="001D51C5" w:rsidRDefault="001D51C5" w:rsidP="001D51C5">
      <w:pPr>
        <w:rPr>
          <w:rFonts w:cs="Arial"/>
          <w:b/>
          <w:bCs/>
          <w:sz w:val="22"/>
          <w:szCs w:val="22"/>
        </w:rPr>
      </w:pPr>
      <w:r w:rsidRPr="001D51C5">
        <w:rPr>
          <w:rFonts w:cs="Arial"/>
          <w:b/>
          <w:bCs/>
          <w:sz w:val="22"/>
          <w:szCs w:val="22"/>
        </w:rPr>
        <w:t>Access to services</w:t>
      </w:r>
    </w:p>
    <w:p w:rsidR="001D51C5" w:rsidRPr="001D51C5" w:rsidRDefault="001D51C5" w:rsidP="001D51C5">
      <w:pPr>
        <w:rPr>
          <w:rFonts w:cs="Arial"/>
          <w:b/>
          <w:bCs/>
          <w:sz w:val="22"/>
          <w:szCs w:val="22"/>
        </w:rPr>
      </w:pPr>
    </w:p>
    <w:p w:rsidR="001D51C5" w:rsidRPr="001D51C5" w:rsidRDefault="001D51C5" w:rsidP="00823F6A">
      <w:pPr>
        <w:spacing w:after="200" w:line="276" w:lineRule="auto"/>
        <w:jc w:val="both"/>
        <w:rPr>
          <w:rFonts w:cs="Arial"/>
          <w:bCs/>
          <w:sz w:val="22"/>
          <w:szCs w:val="22"/>
        </w:rPr>
      </w:pPr>
      <w:r w:rsidRPr="001D51C5">
        <w:rPr>
          <w:rFonts w:cs="Arial"/>
          <w:bCs/>
          <w:sz w:val="22"/>
          <w:szCs w:val="22"/>
        </w:rPr>
        <w:t>The service will accept referrals from individuals seeking advice and support or from an appropriate professional acting on their behalf.</w:t>
      </w:r>
    </w:p>
    <w:p w:rsidR="001D51C5" w:rsidRPr="001D51C5" w:rsidRDefault="001D51C5" w:rsidP="00823F6A">
      <w:pPr>
        <w:spacing w:after="200" w:line="276" w:lineRule="auto"/>
        <w:jc w:val="both"/>
        <w:rPr>
          <w:rFonts w:cs="Arial"/>
          <w:bCs/>
          <w:sz w:val="22"/>
          <w:szCs w:val="22"/>
        </w:rPr>
      </w:pPr>
      <w:r w:rsidRPr="001D51C5">
        <w:rPr>
          <w:rFonts w:cs="Arial"/>
          <w:bCs/>
          <w:sz w:val="22"/>
          <w:szCs w:val="22"/>
        </w:rPr>
        <w:t>Services should be accessible to clients including:</w:t>
      </w:r>
    </w:p>
    <w:p w:rsidR="001D51C5" w:rsidRPr="001D51C5" w:rsidRDefault="001D51C5" w:rsidP="00823F6A">
      <w:pPr>
        <w:pStyle w:val="ListParagraph"/>
        <w:numPr>
          <w:ilvl w:val="0"/>
          <w:numId w:val="21"/>
        </w:numPr>
        <w:suppressAutoHyphens/>
        <w:contextualSpacing w:val="0"/>
        <w:jc w:val="both"/>
        <w:rPr>
          <w:rFonts w:ascii="Arial" w:hAnsi="Arial" w:cs="Arial"/>
          <w:bCs/>
        </w:rPr>
      </w:pPr>
      <w:r w:rsidRPr="001D51C5">
        <w:rPr>
          <w:rFonts w:ascii="Arial" w:hAnsi="Arial" w:cs="Arial"/>
          <w:bCs/>
        </w:rPr>
        <w:t>Local rate telephone triage and support</w:t>
      </w:r>
    </w:p>
    <w:p w:rsidR="001D51C5" w:rsidRPr="001D51C5" w:rsidRDefault="001D51C5" w:rsidP="00823F6A">
      <w:pPr>
        <w:pStyle w:val="ListParagraph"/>
        <w:numPr>
          <w:ilvl w:val="0"/>
          <w:numId w:val="21"/>
        </w:numPr>
        <w:suppressAutoHyphens/>
        <w:contextualSpacing w:val="0"/>
        <w:jc w:val="both"/>
        <w:rPr>
          <w:rFonts w:ascii="Arial" w:hAnsi="Arial" w:cs="Arial"/>
          <w:bCs/>
        </w:rPr>
      </w:pPr>
      <w:r w:rsidRPr="001D51C5">
        <w:rPr>
          <w:rFonts w:ascii="Arial" w:hAnsi="Arial" w:cs="Arial"/>
          <w:bCs/>
        </w:rPr>
        <w:t>Opening hours to accommodate working clients</w:t>
      </w:r>
    </w:p>
    <w:p w:rsidR="001D51C5" w:rsidRPr="001D51C5" w:rsidRDefault="001D51C5" w:rsidP="00823F6A">
      <w:pPr>
        <w:pStyle w:val="ListParagraph"/>
        <w:numPr>
          <w:ilvl w:val="0"/>
          <w:numId w:val="21"/>
        </w:numPr>
        <w:suppressAutoHyphens/>
        <w:contextualSpacing w:val="0"/>
        <w:jc w:val="both"/>
        <w:rPr>
          <w:rFonts w:ascii="Arial" w:hAnsi="Arial" w:cs="Arial"/>
          <w:bCs/>
        </w:rPr>
      </w:pPr>
      <w:r w:rsidRPr="001D51C5">
        <w:rPr>
          <w:rFonts w:ascii="Arial" w:hAnsi="Arial" w:cs="Arial"/>
          <w:bCs/>
        </w:rPr>
        <w:t>Individualised support provided at locations across Doncaster that are convenient for the target client group. Providers are expected to organise their own clinic venues.</w:t>
      </w:r>
    </w:p>
    <w:p w:rsidR="001D51C5" w:rsidRPr="001D51C5" w:rsidRDefault="001D51C5" w:rsidP="00823F6A">
      <w:pPr>
        <w:pStyle w:val="ListParagraph"/>
        <w:numPr>
          <w:ilvl w:val="0"/>
          <w:numId w:val="21"/>
        </w:numPr>
        <w:suppressAutoHyphens/>
        <w:contextualSpacing w:val="0"/>
        <w:jc w:val="both"/>
        <w:rPr>
          <w:rFonts w:ascii="Arial" w:hAnsi="Arial" w:cs="Arial"/>
          <w:bCs/>
        </w:rPr>
      </w:pPr>
      <w:r w:rsidRPr="001D51C5">
        <w:rPr>
          <w:rFonts w:ascii="Arial" w:hAnsi="Arial" w:cs="Arial"/>
          <w:bCs/>
        </w:rPr>
        <w:t>Appropriate interpreter services</w:t>
      </w:r>
    </w:p>
    <w:p w:rsidR="001D51C5" w:rsidRPr="001D51C5" w:rsidRDefault="001D51C5" w:rsidP="00823F6A">
      <w:pPr>
        <w:pStyle w:val="ListParagraph"/>
        <w:numPr>
          <w:ilvl w:val="0"/>
          <w:numId w:val="21"/>
        </w:numPr>
        <w:suppressAutoHyphens/>
        <w:contextualSpacing w:val="0"/>
        <w:jc w:val="both"/>
        <w:rPr>
          <w:rFonts w:ascii="Arial" w:hAnsi="Arial" w:cs="Arial"/>
          <w:bCs/>
        </w:rPr>
      </w:pPr>
      <w:r w:rsidRPr="001D51C5">
        <w:rPr>
          <w:rFonts w:ascii="Arial" w:hAnsi="Arial" w:cs="Arial"/>
          <w:bCs/>
        </w:rPr>
        <w:t>Culturally sensitive services</w:t>
      </w:r>
    </w:p>
    <w:p w:rsidR="001D51C5" w:rsidRPr="001D51C5" w:rsidRDefault="001D51C5" w:rsidP="00823F6A">
      <w:pPr>
        <w:pStyle w:val="ListParagraph"/>
        <w:numPr>
          <w:ilvl w:val="0"/>
          <w:numId w:val="21"/>
        </w:numPr>
        <w:suppressAutoHyphens/>
        <w:contextualSpacing w:val="0"/>
        <w:jc w:val="both"/>
        <w:rPr>
          <w:rFonts w:ascii="Arial" w:hAnsi="Arial" w:cs="Arial"/>
          <w:bCs/>
        </w:rPr>
      </w:pPr>
      <w:r w:rsidRPr="001D51C5">
        <w:rPr>
          <w:rFonts w:ascii="Arial" w:hAnsi="Arial" w:cs="Arial"/>
          <w:bCs/>
        </w:rPr>
        <w:t>Access for people who have a physical or mental impairment that affects their ability to do normal daily activities.</w:t>
      </w:r>
    </w:p>
    <w:p w:rsidR="001D51C5" w:rsidRPr="001D51C5" w:rsidRDefault="001D51C5" w:rsidP="00823F6A">
      <w:pPr>
        <w:pStyle w:val="ListParagraph"/>
        <w:numPr>
          <w:ilvl w:val="0"/>
          <w:numId w:val="21"/>
        </w:numPr>
        <w:suppressAutoHyphens/>
        <w:contextualSpacing w:val="0"/>
        <w:jc w:val="both"/>
        <w:rPr>
          <w:rFonts w:ascii="Arial" w:hAnsi="Arial" w:cs="Arial"/>
          <w:bCs/>
        </w:rPr>
      </w:pPr>
      <w:r w:rsidRPr="001D51C5">
        <w:rPr>
          <w:rFonts w:ascii="Arial" w:hAnsi="Arial" w:cs="Arial"/>
          <w:bCs/>
        </w:rPr>
        <w:lastRenderedPageBreak/>
        <w:t xml:space="preserve">Online and other written materials should be in formats suitable for the client group. </w:t>
      </w:r>
    </w:p>
    <w:p w:rsidR="001D51C5" w:rsidRPr="001D51C5" w:rsidRDefault="001D51C5" w:rsidP="00823F6A">
      <w:pPr>
        <w:spacing w:after="200" w:line="276" w:lineRule="auto"/>
        <w:jc w:val="both"/>
        <w:rPr>
          <w:rFonts w:cs="Arial"/>
          <w:bCs/>
          <w:sz w:val="22"/>
          <w:szCs w:val="22"/>
        </w:rPr>
      </w:pPr>
    </w:p>
    <w:p w:rsidR="001D51C5" w:rsidRPr="001D51C5" w:rsidRDefault="001D51C5" w:rsidP="00823F6A">
      <w:pPr>
        <w:spacing w:after="200" w:line="276" w:lineRule="auto"/>
        <w:jc w:val="both"/>
        <w:rPr>
          <w:rFonts w:cs="Arial"/>
          <w:bCs/>
          <w:sz w:val="22"/>
          <w:szCs w:val="22"/>
        </w:rPr>
      </w:pPr>
      <w:r w:rsidRPr="001D51C5">
        <w:rPr>
          <w:rFonts w:cs="Arial"/>
          <w:b/>
          <w:bCs/>
          <w:sz w:val="22"/>
          <w:szCs w:val="22"/>
        </w:rPr>
        <w:t xml:space="preserve">Telephone response times: </w:t>
      </w:r>
      <w:r w:rsidRPr="001D51C5">
        <w:rPr>
          <w:rFonts w:cs="Arial"/>
          <w:bCs/>
          <w:sz w:val="22"/>
          <w:szCs w:val="22"/>
        </w:rPr>
        <w:t>The provider should have systems in place to monitor call volumes and response times and adjust advertised opening hours and staffing as necessary. The provider should ensure that telephone calls are answered by a human operator within a standard time of 30 seconds.</w:t>
      </w:r>
    </w:p>
    <w:p w:rsidR="001D51C5" w:rsidRPr="001D51C5" w:rsidRDefault="001D51C5" w:rsidP="00823F6A">
      <w:pPr>
        <w:spacing w:after="200" w:line="276" w:lineRule="auto"/>
        <w:jc w:val="both"/>
        <w:rPr>
          <w:rFonts w:cs="Arial"/>
          <w:bCs/>
          <w:sz w:val="22"/>
          <w:szCs w:val="22"/>
        </w:rPr>
      </w:pPr>
      <w:r w:rsidRPr="001D51C5">
        <w:rPr>
          <w:rFonts w:cs="Arial"/>
          <w:b/>
          <w:bCs/>
          <w:sz w:val="22"/>
          <w:szCs w:val="22"/>
        </w:rPr>
        <w:t xml:space="preserve">Waiting time for individual support: </w:t>
      </w:r>
      <w:r w:rsidRPr="001D51C5">
        <w:rPr>
          <w:rFonts w:cs="Arial"/>
          <w:bCs/>
          <w:sz w:val="22"/>
          <w:szCs w:val="22"/>
        </w:rPr>
        <w:t>clients should receive an offer to commence their treatment programme within 5 working days.</w:t>
      </w:r>
    </w:p>
    <w:p w:rsidR="001D51C5" w:rsidRPr="001D51C5" w:rsidRDefault="001D51C5" w:rsidP="00823F6A">
      <w:pPr>
        <w:spacing w:after="200" w:line="276" w:lineRule="auto"/>
        <w:jc w:val="both"/>
        <w:rPr>
          <w:rFonts w:cs="Arial"/>
          <w:bCs/>
          <w:sz w:val="22"/>
          <w:szCs w:val="22"/>
        </w:rPr>
      </w:pPr>
      <w:r w:rsidRPr="001D51C5">
        <w:rPr>
          <w:rFonts w:cs="Arial"/>
          <w:bCs/>
          <w:sz w:val="22"/>
          <w:szCs w:val="22"/>
        </w:rPr>
        <w:t xml:space="preserve">The provider should inform the commissioners if demand levels exceed agreed activity levels and response times. The provider should have procedures in place to </w:t>
      </w:r>
      <w:proofErr w:type="spellStart"/>
      <w:r w:rsidRPr="001D51C5">
        <w:rPr>
          <w:rFonts w:cs="Arial"/>
          <w:bCs/>
          <w:sz w:val="22"/>
          <w:szCs w:val="22"/>
        </w:rPr>
        <w:t>prioritise</w:t>
      </w:r>
      <w:proofErr w:type="spellEnd"/>
      <w:r w:rsidRPr="001D51C5">
        <w:rPr>
          <w:rFonts w:cs="Arial"/>
          <w:bCs/>
          <w:sz w:val="22"/>
          <w:szCs w:val="22"/>
        </w:rPr>
        <w:t xml:space="preserve"> clients during periods of peak demand and to manage activity across the year. See also section 3.6.</w:t>
      </w:r>
    </w:p>
    <w:p w:rsidR="001D51C5" w:rsidRPr="001D51C5" w:rsidRDefault="001D51C5" w:rsidP="00823F6A">
      <w:pPr>
        <w:spacing w:after="200" w:line="276" w:lineRule="auto"/>
        <w:jc w:val="both"/>
        <w:rPr>
          <w:rFonts w:cs="Arial"/>
          <w:b/>
          <w:bCs/>
          <w:sz w:val="22"/>
          <w:szCs w:val="22"/>
        </w:rPr>
      </w:pPr>
      <w:r w:rsidRPr="001D51C5">
        <w:rPr>
          <w:rFonts w:cs="Arial"/>
          <w:b/>
          <w:bCs/>
          <w:sz w:val="22"/>
          <w:szCs w:val="22"/>
        </w:rPr>
        <w:t>Assessment</w:t>
      </w:r>
    </w:p>
    <w:p w:rsidR="001D51C5" w:rsidRPr="001D51C5" w:rsidRDefault="001D51C5" w:rsidP="00823F6A">
      <w:pPr>
        <w:spacing w:after="200" w:line="276" w:lineRule="auto"/>
        <w:jc w:val="both"/>
        <w:rPr>
          <w:rFonts w:cs="Arial"/>
          <w:bCs/>
          <w:sz w:val="22"/>
          <w:szCs w:val="22"/>
        </w:rPr>
      </w:pPr>
      <w:r w:rsidRPr="001D51C5">
        <w:rPr>
          <w:rFonts w:cs="Arial"/>
          <w:bCs/>
          <w:sz w:val="22"/>
          <w:szCs w:val="22"/>
        </w:rPr>
        <w:t xml:space="preserve">All clients should be assessed and triaged into appropriate treatment </w:t>
      </w:r>
      <w:proofErr w:type="spellStart"/>
      <w:r w:rsidRPr="001D51C5">
        <w:rPr>
          <w:rFonts w:cs="Arial"/>
          <w:bCs/>
          <w:sz w:val="22"/>
          <w:szCs w:val="22"/>
        </w:rPr>
        <w:t>programmes</w:t>
      </w:r>
      <w:proofErr w:type="spellEnd"/>
      <w:r w:rsidRPr="001D51C5">
        <w:rPr>
          <w:rFonts w:cs="Arial"/>
          <w:bCs/>
          <w:sz w:val="22"/>
          <w:szCs w:val="22"/>
        </w:rPr>
        <w:t>. The provider will take into account factors including:</w:t>
      </w:r>
    </w:p>
    <w:p w:rsidR="001D51C5" w:rsidRPr="001D51C5" w:rsidRDefault="001D51C5" w:rsidP="00823F6A">
      <w:pPr>
        <w:pStyle w:val="ListParagraph"/>
        <w:numPr>
          <w:ilvl w:val="0"/>
          <w:numId w:val="22"/>
        </w:numPr>
        <w:suppressAutoHyphens/>
        <w:contextualSpacing w:val="0"/>
        <w:jc w:val="both"/>
        <w:rPr>
          <w:rFonts w:ascii="Arial" w:hAnsi="Arial" w:cs="Arial"/>
          <w:bCs/>
        </w:rPr>
      </w:pPr>
      <w:r w:rsidRPr="001D51C5">
        <w:rPr>
          <w:rFonts w:ascii="Arial" w:hAnsi="Arial" w:cs="Arial"/>
          <w:bCs/>
        </w:rPr>
        <w:t>Level of addiction using a recognised assessment tool</w:t>
      </w:r>
    </w:p>
    <w:p w:rsidR="001D51C5" w:rsidRPr="001D51C5" w:rsidRDefault="001D51C5" w:rsidP="00823F6A">
      <w:pPr>
        <w:pStyle w:val="ListParagraph"/>
        <w:numPr>
          <w:ilvl w:val="0"/>
          <w:numId w:val="22"/>
        </w:numPr>
        <w:suppressAutoHyphens/>
        <w:contextualSpacing w:val="0"/>
        <w:jc w:val="both"/>
        <w:rPr>
          <w:rFonts w:ascii="Arial" w:hAnsi="Arial" w:cs="Arial"/>
          <w:bCs/>
        </w:rPr>
      </w:pPr>
      <w:r w:rsidRPr="001D51C5">
        <w:rPr>
          <w:rFonts w:ascii="Arial" w:hAnsi="Arial" w:cs="Arial"/>
          <w:bCs/>
        </w:rPr>
        <w:t>Socio-economic classification</w:t>
      </w:r>
    </w:p>
    <w:p w:rsidR="001D51C5" w:rsidRPr="001D51C5" w:rsidRDefault="001D51C5" w:rsidP="00823F6A">
      <w:pPr>
        <w:pStyle w:val="ListParagraph"/>
        <w:numPr>
          <w:ilvl w:val="0"/>
          <w:numId w:val="22"/>
        </w:numPr>
        <w:suppressAutoHyphens/>
        <w:contextualSpacing w:val="0"/>
        <w:jc w:val="both"/>
        <w:rPr>
          <w:rFonts w:ascii="Arial" w:hAnsi="Arial" w:cs="Arial"/>
          <w:bCs/>
        </w:rPr>
      </w:pPr>
      <w:r w:rsidRPr="001D51C5">
        <w:rPr>
          <w:rFonts w:ascii="Arial" w:hAnsi="Arial" w:cs="Arial"/>
          <w:bCs/>
        </w:rPr>
        <w:t>Previous quitting and medical history</w:t>
      </w:r>
    </w:p>
    <w:p w:rsidR="001D51C5" w:rsidRPr="001D51C5" w:rsidRDefault="001D51C5" w:rsidP="00823F6A">
      <w:pPr>
        <w:pStyle w:val="ListParagraph"/>
        <w:numPr>
          <w:ilvl w:val="0"/>
          <w:numId w:val="22"/>
        </w:numPr>
        <w:suppressAutoHyphens/>
        <w:contextualSpacing w:val="0"/>
        <w:jc w:val="both"/>
        <w:rPr>
          <w:rFonts w:ascii="Arial" w:hAnsi="Arial" w:cs="Arial"/>
          <w:bCs/>
        </w:rPr>
      </w:pPr>
      <w:r w:rsidRPr="001D51C5">
        <w:rPr>
          <w:rFonts w:ascii="Arial" w:hAnsi="Arial" w:cs="Arial"/>
          <w:bCs/>
        </w:rPr>
        <w:t>Key target groups agreed with the commissioners as outlined in this specification</w:t>
      </w:r>
      <w:r w:rsidR="00642D4D">
        <w:rPr>
          <w:rFonts w:ascii="Arial" w:hAnsi="Arial" w:cs="Arial"/>
          <w:bCs/>
        </w:rPr>
        <w:t>.</w:t>
      </w:r>
    </w:p>
    <w:p w:rsidR="001D51C5" w:rsidRPr="001D51C5" w:rsidRDefault="001D51C5" w:rsidP="00823F6A">
      <w:pPr>
        <w:spacing w:after="200" w:line="276" w:lineRule="auto"/>
        <w:jc w:val="both"/>
        <w:rPr>
          <w:rFonts w:cs="Arial"/>
          <w:bCs/>
          <w:sz w:val="22"/>
          <w:szCs w:val="22"/>
        </w:rPr>
      </w:pPr>
      <w:r w:rsidRPr="001D51C5">
        <w:rPr>
          <w:rFonts w:cs="Arial"/>
          <w:bCs/>
          <w:sz w:val="22"/>
          <w:szCs w:val="22"/>
        </w:rPr>
        <w:t>Smoke free and stop smoking assessments should be part of a broader, holistic public health assessment. Where appropriate referral to other public health services such as NHS health checks should be offered and documented</w:t>
      </w:r>
      <w:r w:rsidR="00642D4D">
        <w:rPr>
          <w:rFonts w:cs="Arial"/>
          <w:bCs/>
          <w:sz w:val="22"/>
          <w:szCs w:val="22"/>
        </w:rPr>
        <w:t>.</w:t>
      </w:r>
    </w:p>
    <w:p w:rsidR="001D51C5" w:rsidRPr="001D51C5" w:rsidRDefault="001D51C5" w:rsidP="00823F6A">
      <w:pPr>
        <w:spacing w:after="200" w:line="276" w:lineRule="auto"/>
        <w:jc w:val="both"/>
        <w:rPr>
          <w:rFonts w:cs="Arial"/>
          <w:b/>
          <w:bCs/>
          <w:sz w:val="22"/>
          <w:szCs w:val="22"/>
        </w:rPr>
      </w:pPr>
      <w:r w:rsidRPr="001D51C5">
        <w:rPr>
          <w:rFonts w:cs="Arial"/>
          <w:b/>
          <w:bCs/>
          <w:sz w:val="22"/>
          <w:szCs w:val="22"/>
        </w:rPr>
        <w:t>Advice</w:t>
      </w:r>
    </w:p>
    <w:p w:rsidR="001D51C5" w:rsidRPr="001D51C5" w:rsidRDefault="001D51C5" w:rsidP="00823F6A">
      <w:pPr>
        <w:spacing w:after="200" w:line="276" w:lineRule="auto"/>
        <w:jc w:val="both"/>
        <w:rPr>
          <w:rFonts w:cs="Arial"/>
          <w:bCs/>
          <w:sz w:val="22"/>
          <w:szCs w:val="22"/>
        </w:rPr>
      </w:pPr>
      <w:r w:rsidRPr="001D51C5">
        <w:rPr>
          <w:rFonts w:cs="Arial"/>
          <w:bCs/>
          <w:sz w:val="22"/>
          <w:szCs w:val="22"/>
        </w:rPr>
        <w:t>Advice on smoke free homes and cars should be seen as a key component of every client interaction.</w:t>
      </w:r>
    </w:p>
    <w:p w:rsidR="001D51C5" w:rsidRPr="001D51C5" w:rsidRDefault="001D51C5" w:rsidP="00823F6A">
      <w:pPr>
        <w:spacing w:after="200" w:line="276" w:lineRule="auto"/>
        <w:jc w:val="both"/>
        <w:rPr>
          <w:rFonts w:cs="Arial"/>
          <w:bCs/>
          <w:sz w:val="22"/>
          <w:szCs w:val="22"/>
        </w:rPr>
      </w:pPr>
      <w:r w:rsidRPr="001D51C5">
        <w:rPr>
          <w:rFonts w:cs="Arial"/>
          <w:bCs/>
          <w:sz w:val="22"/>
          <w:szCs w:val="22"/>
        </w:rPr>
        <w:t>All advice given to clients will be based on the current clinical evidence. Caution should be exercised regarding advice on:</w:t>
      </w:r>
    </w:p>
    <w:p w:rsidR="001D51C5" w:rsidRPr="001D51C5" w:rsidRDefault="00240EF6" w:rsidP="00823F6A">
      <w:pPr>
        <w:pStyle w:val="ListParagraph"/>
        <w:numPr>
          <w:ilvl w:val="0"/>
          <w:numId w:val="20"/>
        </w:numPr>
        <w:suppressAutoHyphens/>
        <w:contextualSpacing w:val="0"/>
        <w:jc w:val="both"/>
        <w:rPr>
          <w:rFonts w:ascii="Arial" w:hAnsi="Arial" w:cs="Arial"/>
          <w:bCs/>
        </w:rPr>
      </w:pPr>
      <w:r w:rsidRPr="001D51C5">
        <w:rPr>
          <w:rFonts w:ascii="Arial" w:hAnsi="Arial" w:cs="Arial"/>
          <w:bCs/>
        </w:rPr>
        <w:t>Harm</w:t>
      </w:r>
      <w:r w:rsidR="001D51C5" w:rsidRPr="001D51C5">
        <w:rPr>
          <w:rFonts w:ascii="Arial" w:hAnsi="Arial" w:cs="Arial"/>
          <w:bCs/>
        </w:rPr>
        <w:t xml:space="preserve"> reduction, specifically cutting down the number of cigarettes smoked. There is currently no known safe level of smoking</w:t>
      </w:r>
    </w:p>
    <w:p w:rsidR="001D51C5" w:rsidRPr="001D51C5" w:rsidRDefault="00240EF6" w:rsidP="00823F6A">
      <w:pPr>
        <w:pStyle w:val="ListParagraph"/>
        <w:numPr>
          <w:ilvl w:val="0"/>
          <w:numId w:val="20"/>
        </w:numPr>
        <w:suppressAutoHyphens/>
        <w:contextualSpacing w:val="0"/>
        <w:jc w:val="both"/>
        <w:rPr>
          <w:rFonts w:ascii="Arial" w:hAnsi="Arial" w:cs="Arial"/>
          <w:bCs/>
        </w:rPr>
      </w:pPr>
      <w:r w:rsidRPr="001D51C5">
        <w:rPr>
          <w:rFonts w:ascii="Arial" w:hAnsi="Arial" w:cs="Arial"/>
          <w:bCs/>
        </w:rPr>
        <w:t>Cut</w:t>
      </w:r>
      <w:r w:rsidR="001D51C5" w:rsidRPr="001D51C5">
        <w:rPr>
          <w:rFonts w:ascii="Arial" w:hAnsi="Arial" w:cs="Arial"/>
          <w:bCs/>
        </w:rPr>
        <w:t xml:space="preserve"> down to quit. There has been no clear guidance on what is a safe or effective programme of cutting down to quit</w:t>
      </w:r>
    </w:p>
    <w:p w:rsidR="001D51C5" w:rsidRPr="001D51C5" w:rsidRDefault="00240EF6" w:rsidP="00823F6A">
      <w:pPr>
        <w:pStyle w:val="ListParagraph"/>
        <w:numPr>
          <w:ilvl w:val="0"/>
          <w:numId w:val="20"/>
        </w:numPr>
        <w:suppressAutoHyphens/>
        <w:contextualSpacing w:val="0"/>
        <w:jc w:val="both"/>
        <w:rPr>
          <w:rFonts w:ascii="Arial" w:hAnsi="Arial" w:cs="Arial"/>
          <w:bCs/>
        </w:rPr>
      </w:pPr>
      <w:r w:rsidRPr="001D51C5">
        <w:rPr>
          <w:rFonts w:ascii="Arial" w:hAnsi="Arial" w:cs="Arial"/>
          <w:bCs/>
        </w:rPr>
        <w:t>Electronic</w:t>
      </w:r>
      <w:r w:rsidR="001D51C5" w:rsidRPr="001D51C5">
        <w:rPr>
          <w:rFonts w:ascii="Arial" w:hAnsi="Arial" w:cs="Arial"/>
          <w:bCs/>
        </w:rPr>
        <w:t xml:space="preserve"> cigarettes. The provider should respond to the emerging evidence base whilst offering support to individuals who choose to use these products</w:t>
      </w:r>
      <w:r w:rsidR="00642D4D">
        <w:rPr>
          <w:rFonts w:ascii="Arial" w:hAnsi="Arial" w:cs="Arial"/>
          <w:bCs/>
        </w:rPr>
        <w:t>.</w:t>
      </w:r>
    </w:p>
    <w:p w:rsidR="001D51C5" w:rsidRPr="001D51C5" w:rsidRDefault="001D51C5" w:rsidP="00823F6A">
      <w:pPr>
        <w:spacing w:after="200" w:line="276" w:lineRule="auto"/>
        <w:jc w:val="both"/>
        <w:rPr>
          <w:rFonts w:cs="Arial"/>
          <w:bCs/>
          <w:sz w:val="22"/>
          <w:szCs w:val="22"/>
        </w:rPr>
      </w:pPr>
    </w:p>
    <w:p w:rsidR="001D51C5" w:rsidRPr="001D51C5" w:rsidRDefault="001D51C5" w:rsidP="00823F6A">
      <w:pPr>
        <w:spacing w:after="200" w:line="276" w:lineRule="auto"/>
        <w:jc w:val="both"/>
        <w:rPr>
          <w:rFonts w:cs="Arial"/>
          <w:b/>
          <w:bCs/>
          <w:sz w:val="22"/>
          <w:szCs w:val="22"/>
        </w:rPr>
      </w:pPr>
      <w:r w:rsidRPr="001D51C5">
        <w:rPr>
          <w:rFonts w:cs="Arial"/>
          <w:b/>
          <w:bCs/>
          <w:sz w:val="22"/>
          <w:szCs w:val="22"/>
        </w:rPr>
        <w:t xml:space="preserve">Treatment </w:t>
      </w:r>
      <w:proofErr w:type="spellStart"/>
      <w:r w:rsidRPr="001D51C5">
        <w:rPr>
          <w:rFonts w:cs="Arial"/>
          <w:b/>
          <w:bCs/>
          <w:sz w:val="22"/>
          <w:szCs w:val="22"/>
        </w:rPr>
        <w:t>programmes</w:t>
      </w:r>
      <w:proofErr w:type="spellEnd"/>
    </w:p>
    <w:p w:rsidR="001D51C5" w:rsidRPr="001D51C5" w:rsidRDefault="001D51C5" w:rsidP="00823F6A">
      <w:pPr>
        <w:pStyle w:val="ListParagraph"/>
        <w:numPr>
          <w:ilvl w:val="0"/>
          <w:numId w:val="23"/>
        </w:numPr>
        <w:suppressAutoHyphens/>
        <w:contextualSpacing w:val="0"/>
        <w:jc w:val="both"/>
        <w:rPr>
          <w:rFonts w:ascii="Arial" w:hAnsi="Arial" w:cs="Arial"/>
          <w:bCs/>
        </w:rPr>
      </w:pPr>
      <w:r w:rsidRPr="001D51C5">
        <w:rPr>
          <w:rFonts w:ascii="Arial" w:hAnsi="Arial" w:cs="Arial"/>
          <w:bCs/>
        </w:rPr>
        <w:lastRenderedPageBreak/>
        <w:t>All treatment programmes will be evidence based and delivered by suitably qualified stop smoking advisors. This does not preclude the development of new innovative programmes that have been agreed with the commissioners, and the premise of this specification is that an individualised tailored approach is adopted for every client.</w:t>
      </w:r>
    </w:p>
    <w:p w:rsidR="001D51C5" w:rsidRPr="001D51C5" w:rsidRDefault="001D51C5" w:rsidP="00823F6A">
      <w:pPr>
        <w:pStyle w:val="ListParagraph"/>
        <w:numPr>
          <w:ilvl w:val="0"/>
          <w:numId w:val="23"/>
        </w:numPr>
        <w:suppressAutoHyphens/>
        <w:contextualSpacing w:val="0"/>
        <w:jc w:val="both"/>
        <w:rPr>
          <w:rFonts w:ascii="Arial" w:hAnsi="Arial" w:cs="Arial"/>
          <w:bCs/>
        </w:rPr>
      </w:pPr>
      <w:r w:rsidRPr="001D51C5">
        <w:rPr>
          <w:rFonts w:ascii="Arial" w:hAnsi="Arial" w:cs="Arial"/>
          <w:bCs/>
        </w:rPr>
        <w:t>Harm reduction programmes are not included within the scope of this specification.</w:t>
      </w:r>
    </w:p>
    <w:p w:rsidR="001D51C5" w:rsidRPr="001D51C5" w:rsidRDefault="001D51C5" w:rsidP="00823F6A">
      <w:pPr>
        <w:pStyle w:val="ListParagraph"/>
        <w:numPr>
          <w:ilvl w:val="0"/>
          <w:numId w:val="23"/>
        </w:numPr>
        <w:suppressAutoHyphens/>
        <w:contextualSpacing w:val="0"/>
        <w:jc w:val="both"/>
        <w:rPr>
          <w:rFonts w:ascii="Arial" w:hAnsi="Arial" w:cs="Arial"/>
          <w:bCs/>
        </w:rPr>
      </w:pPr>
      <w:r w:rsidRPr="001D51C5">
        <w:rPr>
          <w:rFonts w:ascii="Arial" w:hAnsi="Arial" w:cs="Arial"/>
          <w:bCs/>
        </w:rPr>
        <w:t xml:space="preserve">Cut down to quit may be undertaken by clients however support will be restricted to text and general guidance (via websites for example) until evidence of what constitutes an effective programme becomes available. The commissioners will not fund </w:t>
      </w:r>
      <w:r w:rsidR="00642D4D">
        <w:rPr>
          <w:rFonts w:ascii="Arial" w:hAnsi="Arial" w:cs="Arial"/>
          <w:bCs/>
        </w:rPr>
        <w:t>Nicotine Replacement Therapy (</w:t>
      </w:r>
      <w:r w:rsidRPr="001D51C5">
        <w:rPr>
          <w:rFonts w:ascii="Arial" w:hAnsi="Arial" w:cs="Arial"/>
          <w:bCs/>
        </w:rPr>
        <w:t>NRT</w:t>
      </w:r>
      <w:r w:rsidR="00642D4D">
        <w:rPr>
          <w:rFonts w:ascii="Arial" w:hAnsi="Arial" w:cs="Arial"/>
          <w:bCs/>
        </w:rPr>
        <w:t>)</w:t>
      </w:r>
      <w:r w:rsidRPr="001D51C5">
        <w:rPr>
          <w:rFonts w:ascii="Arial" w:hAnsi="Arial" w:cs="Arial"/>
          <w:bCs/>
        </w:rPr>
        <w:t xml:space="preserve"> for cut down to quit attempts.</w:t>
      </w:r>
    </w:p>
    <w:p w:rsidR="001D51C5" w:rsidRPr="001D51C5" w:rsidRDefault="001D51C5" w:rsidP="00823F6A">
      <w:pPr>
        <w:pStyle w:val="ListParagraph"/>
        <w:numPr>
          <w:ilvl w:val="0"/>
          <w:numId w:val="23"/>
        </w:numPr>
        <w:suppressAutoHyphens/>
        <w:contextualSpacing w:val="0"/>
        <w:jc w:val="both"/>
        <w:rPr>
          <w:rFonts w:ascii="Arial" w:hAnsi="Arial" w:cs="Arial"/>
          <w:bCs/>
        </w:rPr>
      </w:pPr>
      <w:r w:rsidRPr="001D51C5">
        <w:rPr>
          <w:rFonts w:ascii="Arial" w:hAnsi="Arial" w:cs="Arial"/>
          <w:bCs/>
        </w:rPr>
        <w:t xml:space="preserve">The provider will maintain appropriate and accurate records of client interactions to ensure the delivery of safe and effective care. </w:t>
      </w:r>
    </w:p>
    <w:p w:rsidR="001D51C5" w:rsidRPr="001D51C5" w:rsidRDefault="001D51C5" w:rsidP="00823F6A">
      <w:pPr>
        <w:spacing w:after="200" w:line="276" w:lineRule="auto"/>
        <w:jc w:val="both"/>
        <w:rPr>
          <w:rFonts w:cs="Arial"/>
          <w:b/>
          <w:bCs/>
          <w:sz w:val="22"/>
          <w:szCs w:val="22"/>
        </w:rPr>
      </w:pPr>
    </w:p>
    <w:p w:rsidR="001D51C5" w:rsidRPr="001D51C5" w:rsidRDefault="001D51C5" w:rsidP="00823F6A">
      <w:pPr>
        <w:spacing w:after="200" w:line="276" w:lineRule="auto"/>
        <w:jc w:val="both"/>
        <w:rPr>
          <w:rFonts w:cs="Arial"/>
          <w:b/>
          <w:bCs/>
          <w:sz w:val="22"/>
          <w:szCs w:val="22"/>
        </w:rPr>
      </w:pPr>
      <w:r w:rsidRPr="001D51C5">
        <w:rPr>
          <w:rFonts w:cs="Arial"/>
          <w:b/>
          <w:bCs/>
          <w:sz w:val="22"/>
          <w:szCs w:val="22"/>
        </w:rPr>
        <w:t>Length of treatment</w:t>
      </w:r>
    </w:p>
    <w:p w:rsidR="001D51C5" w:rsidRPr="001D51C5" w:rsidRDefault="001D51C5" w:rsidP="00823F6A">
      <w:pPr>
        <w:spacing w:after="200" w:line="276" w:lineRule="auto"/>
        <w:jc w:val="both"/>
        <w:rPr>
          <w:rFonts w:cs="Arial"/>
          <w:bCs/>
          <w:sz w:val="22"/>
          <w:szCs w:val="22"/>
        </w:rPr>
      </w:pPr>
      <w:r w:rsidRPr="001D51C5">
        <w:rPr>
          <w:rFonts w:cs="Arial"/>
          <w:bCs/>
          <w:sz w:val="22"/>
          <w:szCs w:val="22"/>
        </w:rPr>
        <w:t xml:space="preserve">The length of </w:t>
      </w:r>
      <w:proofErr w:type="spellStart"/>
      <w:r w:rsidRPr="001D51C5">
        <w:rPr>
          <w:rFonts w:cs="Arial"/>
          <w:bCs/>
          <w:sz w:val="22"/>
          <w:szCs w:val="22"/>
        </w:rPr>
        <w:t>personalised</w:t>
      </w:r>
      <w:proofErr w:type="spellEnd"/>
      <w:r w:rsidRPr="001D51C5">
        <w:rPr>
          <w:rFonts w:cs="Arial"/>
          <w:bCs/>
          <w:sz w:val="22"/>
          <w:szCs w:val="22"/>
        </w:rPr>
        <w:t xml:space="preserve"> support for all quit attempts will not exceed 7 weeks. The provider should offer guidance in a variety of formats to enable clients to maintain their quit status.</w:t>
      </w:r>
    </w:p>
    <w:p w:rsidR="001D51C5" w:rsidRPr="001D51C5" w:rsidRDefault="001D51C5" w:rsidP="00823F6A">
      <w:pPr>
        <w:spacing w:after="200" w:line="276" w:lineRule="auto"/>
        <w:jc w:val="both"/>
        <w:rPr>
          <w:rFonts w:cs="Arial"/>
          <w:b/>
          <w:bCs/>
          <w:sz w:val="22"/>
          <w:szCs w:val="22"/>
        </w:rPr>
      </w:pPr>
      <w:r w:rsidRPr="001D51C5">
        <w:rPr>
          <w:rFonts w:cs="Arial"/>
          <w:b/>
          <w:bCs/>
          <w:sz w:val="22"/>
          <w:szCs w:val="22"/>
        </w:rPr>
        <w:t>Validation of quit attempts</w:t>
      </w:r>
    </w:p>
    <w:p w:rsidR="001D51C5" w:rsidRPr="001D51C5" w:rsidRDefault="001D51C5" w:rsidP="00823F6A">
      <w:pPr>
        <w:pStyle w:val="ListParagraph"/>
        <w:numPr>
          <w:ilvl w:val="0"/>
          <w:numId w:val="24"/>
        </w:numPr>
        <w:suppressAutoHyphens/>
        <w:contextualSpacing w:val="0"/>
        <w:jc w:val="both"/>
        <w:rPr>
          <w:rFonts w:ascii="Arial" w:hAnsi="Arial" w:cs="Arial"/>
          <w:bCs/>
        </w:rPr>
      </w:pPr>
      <w:r w:rsidRPr="001D51C5">
        <w:rPr>
          <w:rFonts w:ascii="Arial" w:hAnsi="Arial" w:cs="Arial"/>
          <w:bCs/>
        </w:rPr>
        <w:t xml:space="preserve">All quit attempts and those supported by medication should be validated by the use of </w:t>
      </w:r>
      <w:r w:rsidR="00642D4D">
        <w:rPr>
          <w:rFonts w:ascii="Arial" w:hAnsi="Arial" w:cs="Arial"/>
          <w:bCs/>
        </w:rPr>
        <w:t>Carbon Monoxide (</w:t>
      </w:r>
      <w:r w:rsidRPr="001D51C5">
        <w:rPr>
          <w:rFonts w:ascii="Arial" w:hAnsi="Arial" w:cs="Arial"/>
          <w:bCs/>
        </w:rPr>
        <w:t>CO</w:t>
      </w:r>
      <w:r w:rsidR="00642D4D">
        <w:rPr>
          <w:rFonts w:ascii="Arial" w:hAnsi="Arial" w:cs="Arial"/>
          <w:bCs/>
        </w:rPr>
        <w:t>)</w:t>
      </w:r>
      <w:r w:rsidRPr="001D51C5">
        <w:rPr>
          <w:rFonts w:ascii="Arial" w:hAnsi="Arial" w:cs="Arial"/>
          <w:bCs/>
        </w:rPr>
        <w:t xml:space="preserve"> monitoring.</w:t>
      </w:r>
    </w:p>
    <w:p w:rsidR="001D51C5" w:rsidRPr="001D51C5" w:rsidRDefault="001D51C5" w:rsidP="00823F6A">
      <w:pPr>
        <w:pStyle w:val="ListParagraph"/>
        <w:numPr>
          <w:ilvl w:val="0"/>
          <w:numId w:val="24"/>
        </w:numPr>
        <w:suppressAutoHyphens/>
        <w:contextualSpacing w:val="0"/>
        <w:jc w:val="both"/>
        <w:rPr>
          <w:rFonts w:ascii="Arial" w:hAnsi="Arial" w:cs="Arial"/>
          <w:bCs/>
        </w:rPr>
      </w:pPr>
      <w:r w:rsidRPr="001D51C5">
        <w:rPr>
          <w:rFonts w:ascii="Arial" w:hAnsi="Arial" w:cs="Arial"/>
          <w:bCs/>
        </w:rPr>
        <w:t>Quit attempts without the provision of medication will be validated by sampling 10% of clients for verbal confirmation of quit status.</w:t>
      </w:r>
    </w:p>
    <w:p w:rsidR="001D51C5" w:rsidRPr="001D51C5" w:rsidRDefault="001D51C5" w:rsidP="00823F6A">
      <w:pPr>
        <w:pStyle w:val="ListParagraph"/>
        <w:numPr>
          <w:ilvl w:val="0"/>
          <w:numId w:val="24"/>
        </w:numPr>
        <w:suppressAutoHyphens/>
        <w:contextualSpacing w:val="0"/>
        <w:jc w:val="both"/>
        <w:rPr>
          <w:rFonts w:ascii="Arial" w:hAnsi="Arial" w:cs="Arial"/>
          <w:bCs/>
        </w:rPr>
      </w:pPr>
      <w:r w:rsidRPr="001D51C5">
        <w:rPr>
          <w:rFonts w:ascii="Arial" w:hAnsi="Arial" w:cs="Arial"/>
          <w:bCs/>
        </w:rPr>
        <w:t>Additionally the provider will follow up a sample of 10% of clients at 6 months to assess sustained behaviour change.</w:t>
      </w:r>
    </w:p>
    <w:p w:rsidR="001D51C5" w:rsidRPr="001D51C5" w:rsidRDefault="001D51C5" w:rsidP="00823F6A">
      <w:pPr>
        <w:spacing w:after="200" w:line="276" w:lineRule="auto"/>
        <w:jc w:val="both"/>
        <w:rPr>
          <w:rFonts w:cs="Arial"/>
          <w:b/>
          <w:bCs/>
          <w:sz w:val="22"/>
          <w:szCs w:val="22"/>
        </w:rPr>
      </w:pPr>
      <w:r w:rsidRPr="001D51C5">
        <w:rPr>
          <w:rFonts w:cs="Arial"/>
          <w:b/>
          <w:bCs/>
          <w:sz w:val="22"/>
          <w:szCs w:val="22"/>
        </w:rPr>
        <w:t>Provision of medication</w:t>
      </w:r>
    </w:p>
    <w:p w:rsidR="001D51C5" w:rsidRPr="001D51C5" w:rsidRDefault="001D51C5" w:rsidP="00823F6A">
      <w:pPr>
        <w:pStyle w:val="ListParagraph"/>
        <w:numPr>
          <w:ilvl w:val="0"/>
          <w:numId w:val="19"/>
        </w:numPr>
        <w:suppressAutoHyphens/>
        <w:contextualSpacing w:val="0"/>
        <w:jc w:val="both"/>
        <w:rPr>
          <w:rFonts w:ascii="Arial" w:hAnsi="Arial" w:cs="Arial"/>
          <w:bCs/>
        </w:rPr>
      </w:pPr>
      <w:r w:rsidRPr="001D51C5">
        <w:rPr>
          <w:rFonts w:ascii="Arial" w:hAnsi="Arial" w:cs="Arial"/>
          <w:bCs/>
        </w:rPr>
        <w:t>The provider will retain responsibility for managing within a fixed prescribing budget and will invoice the commissioners quarterly based on actual spend.</w:t>
      </w:r>
    </w:p>
    <w:p w:rsidR="001D51C5" w:rsidRPr="001D51C5" w:rsidRDefault="001D51C5" w:rsidP="00823F6A">
      <w:pPr>
        <w:pStyle w:val="ListParagraph"/>
        <w:numPr>
          <w:ilvl w:val="0"/>
          <w:numId w:val="19"/>
        </w:numPr>
        <w:suppressAutoHyphens/>
        <w:autoSpaceDE w:val="0"/>
        <w:autoSpaceDN w:val="0"/>
        <w:adjustRightInd w:val="0"/>
        <w:contextualSpacing w:val="0"/>
        <w:jc w:val="both"/>
        <w:rPr>
          <w:rFonts w:ascii="Arial" w:hAnsi="Arial" w:cs="Arial"/>
        </w:rPr>
      </w:pPr>
      <w:r w:rsidRPr="001D51C5">
        <w:rPr>
          <w:rFonts w:ascii="Arial" w:hAnsi="Arial" w:cs="Arial"/>
          <w:bCs/>
        </w:rPr>
        <w:t>Where medication is to be provided the provider will assess, prescribe and arrange provision of the appropriate pharmacotherapy. The provider will undertake all necessary monitoring of clients receiving medication throughout their treatment course. Where clients are receiving prescription-only medication they should be encouraged to give consent to share this information with their GP.</w:t>
      </w:r>
      <w:r w:rsidRPr="001D51C5">
        <w:rPr>
          <w:rFonts w:ascii="Arial" w:hAnsi="Arial" w:cs="Arial"/>
        </w:rPr>
        <w:t xml:space="preserve"> The provider will ensure that there are safe and effective medicines management systems when delivering services to clients. The provider must ensure that all staff provide and/or prescribe in accordance with releva</w:t>
      </w:r>
      <w:r w:rsidR="00642D4D">
        <w:rPr>
          <w:rFonts w:ascii="Arial" w:hAnsi="Arial" w:cs="Arial"/>
        </w:rPr>
        <w:t>nt national and local guidance</w:t>
      </w:r>
      <w:r w:rsidRPr="001D51C5">
        <w:rPr>
          <w:rFonts w:ascii="Arial" w:hAnsi="Arial" w:cs="Arial"/>
        </w:rPr>
        <w:t xml:space="preserve">. </w:t>
      </w:r>
    </w:p>
    <w:p w:rsidR="001D51C5" w:rsidRPr="001D51C5" w:rsidRDefault="001D51C5" w:rsidP="00823F6A">
      <w:pPr>
        <w:pStyle w:val="ListParagraph"/>
        <w:numPr>
          <w:ilvl w:val="0"/>
          <w:numId w:val="19"/>
        </w:numPr>
        <w:suppressAutoHyphens/>
        <w:autoSpaceDE w:val="0"/>
        <w:autoSpaceDN w:val="0"/>
        <w:adjustRightInd w:val="0"/>
        <w:contextualSpacing w:val="0"/>
        <w:jc w:val="both"/>
        <w:rPr>
          <w:rFonts w:ascii="Arial" w:hAnsi="Arial" w:cs="Arial"/>
        </w:rPr>
      </w:pPr>
      <w:r w:rsidRPr="001D51C5">
        <w:rPr>
          <w:rFonts w:ascii="Arial" w:hAnsi="Arial" w:cs="Arial"/>
        </w:rPr>
        <w:t xml:space="preserve">The provider must ensure that </w:t>
      </w:r>
      <w:proofErr w:type="gramStart"/>
      <w:r w:rsidRPr="001D51C5">
        <w:rPr>
          <w:rFonts w:ascii="Arial" w:hAnsi="Arial" w:cs="Arial"/>
        </w:rPr>
        <w:t>staff</w:t>
      </w:r>
      <w:proofErr w:type="gramEnd"/>
      <w:r w:rsidRPr="001D51C5">
        <w:rPr>
          <w:rFonts w:ascii="Arial" w:hAnsi="Arial" w:cs="Arial"/>
        </w:rPr>
        <w:t xml:space="preserve"> who are non-medical prescribers follow national and professional standard policies and procedures for prescribing. In addition, non-medical prescribers will only prescribe within their role and area of competence. It is </w:t>
      </w:r>
      <w:r w:rsidRPr="001D51C5">
        <w:rPr>
          <w:rFonts w:ascii="Arial" w:hAnsi="Arial" w:cs="Arial"/>
        </w:rPr>
        <w:lastRenderedPageBreak/>
        <w:t>required that non-medical prescribers will undertake: clinical supervision, continuing professional development, and audit of their prescribing practice.</w:t>
      </w:r>
    </w:p>
    <w:p w:rsidR="001D51C5" w:rsidRPr="001D51C5" w:rsidRDefault="001D51C5" w:rsidP="00823F6A">
      <w:pPr>
        <w:pStyle w:val="ListParagraph"/>
        <w:numPr>
          <w:ilvl w:val="0"/>
          <w:numId w:val="19"/>
        </w:numPr>
        <w:suppressAutoHyphens/>
        <w:contextualSpacing w:val="0"/>
        <w:jc w:val="both"/>
        <w:rPr>
          <w:rFonts w:ascii="Arial" w:hAnsi="Arial" w:cs="Arial"/>
          <w:bCs/>
        </w:rPr>
      </w:pPr>
      <w:r w:rsidRPr="001D51C5">
        <w:rPr>
          <w:rFonts w:ascii="Arial" w:hAnsi="Arial" w:cs="Arial"/>
          <w:bCs/>
        </w:rPr>
        <w:t>NRT medication, in the form of a single product, will be issued on a weekly basis for the first four weeks and thereafter no more than 2 weeks supply at a time to a maximum total of 8 weeks supply.</w:t>
      </w:r>
    </w:p>
    <w:p w:rsidR="001D51C5" w:rsidRPr="001D51C5" w:rsidRDefault="001D51C5" w:rsidP="00823F6A">
      <w:pPr>
        <w:pStyle w:val="ListParagraph"/>
        <w:numPr>
          <w:ilvl w:val="0"/>
          <w:numId w:val="19"/>
        </w:numPr>
        <w:suppressAutoHyphens/>
        <w:contextualSpacing w:val="0"/>
        <w:jc w:val="both"/>
        <w:rPr>
          <w:rFonts w:ascii="Arial" w:hAnsi="Arial" w:cs="Arial"/>
          <w:bCs/>
        </w:rPr>
      </w:pPr>
      <w:r w:rsidRPr="001D51C5">
        <w:rPr>
          <w:rFonts w:ascii="Arial" w:hAnsi="Arial" w:cs="Arial"/>
          <w:bCs/>
        </w:rPr>
        <w:t>The provider should encourage the client to purchase a second NRT product to support their quit attempt where indicated.</w:t>
      </w:r>
    </w:p>
    <w:p w:rsidR="001D51C5" w:rsidRPr="001D51C5" w:rsidRDefault="001D51C5" w:rsidP="00823F6A">
      <w:pPr>
        <w:pStyle w:val="ListParagraph"/>
        <w:numPr>
          <w:ilvl w:val="0"/>
          <w:numId w:val="19"/>
        </w:numPr>
        <w:suppressAutoHyphens/>
        <w:contextualSpacing w:val="0"/>
        <w:jc w:val="both"/>
        <w:rPr>
          <w:rFonts w:ascii="Arial" w:hAnsi="Arial" w:cs="Arial"/>
          <w:bCs/>
        </w:rPr>
      </w:pPr>
      <w:r w:rsidRPr="001D51C5">
        <w:rPr>
          <w:rFonts w:ascii="Arial" w:hAnsi="Arial" w:cs="Arial"/>
          <w:bCs/>
        </w:rPr>
        <w:t xml:space="preserve">The commissioner will support the provision of dual therapy NRT in exceptional circumstances subject to the approval of the provider’s exceptional circumstance clinical procedure </w:t>
      </w:r>
    </w:p>
    <w:p w:rsidR="001D51C5" w:rsidRPr="001D51C5" w:rsidRDefault="001D51C5" w:rsidP="00823F6A">
      <w:pPr>
        <w:pStyle w:val="ListParagraph"/>
        <w:numPr>
          <w:ilvl w:val="0"/>
          <w:numId w:val="19"/>
        </w:numPr>
        <w:suppressAutoHyphens/>
        <w:contextualSpacing w:val="0"/>
        <w:jc w:val="both"/>
        <w:rPr>
          <w:rFonts w:ascii="Arial" w:hAnsi="Arial" w:cs="Arial"/>
          <w:bCs/>
        </w:rPr>
      </w:pPr>
      <w:proofErr w:type="spellStart"/>
      <w:r w:rsidRPr="001D51C5">
        <w:rPr>
          <w:rFonts w:ascii="Arial" w:hAnsi="Arial" w:cs="Arial"/>
          <w:bCs/>
        </w:rPr>
        <w:t>Varenicline</w:t>
      </w:r>
      <w:proofErr w:type="spellEnd"/>
      <w:r w:rsidRPr="001D51C5">
        <w:rPr>
          <w:rFonts w:ascii="Arial" w:hAnsi="Arial" w:cs="Arial"/>
          <w:bCs/>
        </w:rPr>
        <w:t xml:space="preserve"> will be issued as 2 weeks titration pack followed by 2 x 1 weekly and thereafter no more than 2 weeks at any one time to a maximum total of a 12 weeks course.</w:t>
      </w:r>
    </w:p>
    <w:p w:rsidR="001D51C5" w:rsidRPr="001D51C5" w:rsidRDefault="001D51C5" w:rsidP="00823F6A">
      <w:pPr>
        <w:pStyle w:val="ListParagraph"/>
        <w:numPr>
          <w:ilvl w:val="0"/>
          <w:numId w:val="19"/>
        </w:numPr>
        <w:suppressAutoHyphens/>
        <w:contextualSpacing w:val="0"/>
        <w:jc w:val="both"/>
        <w:rPr>
          <w:rFonts w:ascii="Arial" w:hAnsi="Arial" w:cs="Arial"/>
          <w:bCs/>
        </w:rPr>
      </w:pPr>
      <w:r w:rsidRPr="001D51C5">
        <w:rPr>
          <w:rFonts w:ascii="Arial" w:hAnsi="Arial" w:cs="Arial"/>
          <w:bCs/>
        </w:rPr>
        <w:t>Bupropion is not used in Doncaster in any significant quantities. Bupropion will be issued as 2 weeks titration pack followed by 2 x 1 weekly and thereafter no more than 2 weeks at any one time to a maximum total of an 8 weeks course.</w:t>
      </w:r>
    </w:p>
    <w:p w:rsidR="001D51C5" w:rsidRPr="001D51C5" w:rsidRDefault="001D51C5" w:rsidP="00823F6A">
      <w:pPr>
        <w:pStyle w:val="ListParagraph"/>
        <w:numPr>
          <w:ilvl w:val="0"/>
          <w:numId w:val="19"/>
        </w:numPr>
        <w:suppressAutoHyphens/>
        <w:contextualSpacing w:val="0"/>
        <w:jc w:val="both"/>
        <w:rPr>
          <w:rFonts w:ascii="Arial" w:hAnsi="Arial" w:cs="Arial"/>
          <w:bCs/>
        </w:rPr>
      </w:pPr>
      <w:r w:rsidRPr="001D51C5">
        <w:rPr>
          <w:rFonts w:ascii="Arial" w:hAnsi="Arial" w:cs="Arial"/>
          <w:bCs/>
        </w:rPr>
        <w:t>The commissioner will not fund the use of e-cigarettes in any circumstance or NRT for cut down to quit or harm reduction.</w:t>
      </w:r>
    </w:p>
    <w:p w:rsidR="001D51C5" w:rsidRPr="001D51C5" w:rsidRDefault="001D51C5" w:rsidP="00823F6A">
      <w:pPr>
        <w:pStyle w:val="ListParagraph"/>
        <w:jc w:val="both"/>
        <w:rPr>
          <w:rFonts w:ascii="Arial" w:hAnsi="Arial" w:cs="Arial"/>
          <w:b/>
          <w:bCs/>
        </w:rPr>
      </w:pPr>
    </w:p>
    <w:p w:rsidR="001D51C5" w:rsidRPr="001D51C5" w:rsidRDefault="001D51C5" w:rsidP="00823F6A">
      <w:pPr>
        <w:spacing w:after="200" w:line="276" w:lineRule="auto"/>
        <w:jc w:val="both"/>
        <w:rPr>
          <w:rFonts w:cs="Arial"/>
          <w:b/>
          <w:bCs/>
          <w:sz w:val="22"/>
          <w:szCs w:val="22"/>
        </w:rPr>
      </w:pPr>
      <w:r w:rsidRPr="001D51C5">
        <w:rPr>
          <w:rFonts w:cs="Arial"/>
          <w:b/>
          <w:bCs/>
          <w:sz w:val="22"/>
          <w:szCs w:val="22"/>
        </w:rPr>
        <w:t>Information Management &amp; Technology</w:t>
      </w:r>
    </w:p>
    <w:p w:rsidR="001D51C5" w:rsidRPr="001D51C5" w:rsidRDefault="001D51C5" w:rsidP="00823F6A">
      <w:pPr>
        <w:spacing w:after="200" w:line="276" w:lineRule="auto"/>
        <w:jc w:val="both"/>
        <w:rPr>
          <w:rFonts w:cs="Arial"/>
          <w:bCs/>
          <w:sz w:val="22"/>
          <w:szCs w:val="22"/>
        </w:rPr>
      </w:pPr>
      <w:r w:rsidRPr="001D51C5">
        <w:rPr>
          <w:rFonts w:cs="Arial"/>
          <w:bCs/>
          <w:sz w:val="22"/>
          <w:szCs w:val="22"/>
        </w:rPr>
        <w:t xml:space="preserve">The provider will have systems in place to record and produce reports on individual activity data and outcomes where applicable for all </w:t>
      </w:r>
      <w:proofErr w:type="spellStart"/>
      <w:r w:rsidRPr="001D51C5">
        <w:rPr>
          <w:rFonts w:cs="Arial"/>
          <w:bCs/>
          <w:sz w:val="22"/>
          <w:szCs w:val="22"/>
        </w:rPr>
        <w:t>programmes</w:t>
      </w:r>
      <w:proofErr w:type="spellEnd"/>
      <w:r w:rsidRPr="001D51C5">
        <w:rPr>
          <w:rFonts w:cs="Arial"/>
          <w:bCs/>
          <w:sz w:val="22"/>
          <w:szCs w:val="22"/>
        </w:rPr>
        <w:t xml:space="preserve"> and financial data including prescribing costs. </w:t>
      </w:r>
    </w:p>
    <w:p w:rsidR="001D51C5" w:rsidRPr="001D51C5" w:rsidRDefault="001D51C5" w:rsidP="00823F6A">
      <w:pPr>
        <w:spacing w:after="200" w:line="276" w:lineRule="auto"/>
        <w:jc w:val="both"/>
        <w:rPr>
          <w:rFonts w:cs="Arial"/>
          <w:bCs/>
          <w:sz w:val="22"/>
          <w:szCs w:val="22"/>
        </w:rPr>
      </w:pPr>
      <w:r w:rsidRPr="001D51C5">
        <w:rPr>
          <w:rFonts w:cs="Arial"/>
          <w:bCs/>
          <w:sz w:val="22"/>
          <w:szCs w:val="22"/>
        </w:rPr>
        <w:t xml:space="preserve">The provider is responsible for collating quit data from all associated services and sub-contractors and for the quarterly submissions to the Department for Health/NHS Information Centre and the commissioners.  </w:t>
      </w:r>
    </w:p>
    <w:p w:rsidR="001D51C5" w:rsidRPr="001D51C5" w:rsidRDefault="001D51C5" w:rsidP="00823F6A">
      <w:pPr>
        <w:spacing w:after="200" w:line="276" w:lineRule="auto"/>
        <w:jc w:val="both"/>
        <w:rPr>
          <w:rFonts w:cs="Arial"/>
          <w:sz w:val="22"/>
          <w:szCs w:val="22"/>
        </w:rPr>
      </w:pPr>
      <w:r w:rsidRPr="001D51C5">
        <w:rPr>
          <w:rFonts w:cs="Arial"/>
          <w:bCs/>
          <w:sz w:val="22"/>
          <w:szCs w:val="22"/>
        </w:rPr>
        <w:t xml:space="preserve">All systems and communications </w:t>
      </w:r>
      <w:r w:rsidRPr="001D51C5">
        <w:rPr>
          <w:rFonts w:cs="Arial"/>
          <w:sz w:val="22"/>
          <w:szCs w:val="22"/>
        </w:rPr>
        <w:t xml:space="preserve">should comply with all aspects of the Data Protection Act 1998 and the NHS Confidentiality Code of Practice and </w:t>
      </w:r>
      <w:proofErr w:type="spellStart"/>
      <w:r w:rsidRPr="001D51C5">
        <w:rPr>
          <w:rFonts w:cs="Arial"/>
          <w:sz w:val="22"/>
          <w:szCs w:val="22"/>
        </w:rPr>
        <w:t>Caldicott</w:t>
      </w:r>
      <w:proofErr w:type="spellEnd"/>
      <w:r w:rsidRPr="001D51C5">
        <w:rPr>
          <w:rFonts w:cs="Arial"/>
          <w:sz w:val="22"/>
          <w:szCs w:val="22"/>
        </w:rPr>
        <w:t xml:space="preserve"> principles</w:t>
      </w:r>
      <w:r w:rsidR="004E36A3">
        <w:rPr>
          <w:rFonts w:cs="Arial"/>
          <w:sz w:val="22"/>
          <w:szCs w:val="22"/>
        </w:rPr>
        <w:t>.</w:t>
      </w:r>
    </w:p>
    <w:p w:rsidR="001D51C5" w:rsidRPr="001D51C5" w:rsidRDefault="001D51C5" w:rsidP="00823F6A">
      <w:pPr>
        <w:spacing w:after="200" w:line="276" w:lineRule="auto"/>
        <w:jc w:val="both"/>
        <w:rPr>
          <w:rFonts w:cs="Arial"/>
          <w:sz w:val="22"/>
          <w:szCs w:val="22"/>
        </w:rPr>
      </w:pPr>
      <w:r w:rsidRPr="001D51C5">
        <w:rPr>
          <w:rFonts w:cs="Arial"/>
          <w:sz w:val="22"/>
          <w:szCs w:val="22"/>
        </w:rPr>
        <w:t>The commissioners will retain ownership of all data and information collected from the service by the provider.  Any data, information or research pertaining to the service may not be transferred, disseminated or used by the provider without explicit permission from the Commissioner.</w:t>
      </w:r>
    </w:p>
    <w:p w:rsidR="001D51C5" w:rsidRPr="001D51C5" w:rsidRDefault="001D51C5" w:rsidP="00823F6A">
      <w:pPr>
        <w:spacing w:after="200" w:line="276" w:lineRule="auto"/>
        <w:jc w:val="both"/>
        <w:rPr>
          <w:rFonts w:cs="Arial"/>
          <w:bCs/>
          <w:sz w:val="22"/>
          <w:szCs w:val="22"/>
        </w:rPr>
      </w:pPr>
    </w:p>
    <w:p w:rsidR="001D51C5" w:rsidRPr="001D51C5" w:rsidRDefault="001D51C5" w:rsidP="00823F6A">
      <w:pPr>
        <w:spacing w:after="200" w:line="276" w:lineRule="auto"/>
        <w:jc w:val="both"/>
        <w:rPr>
          <w:rFonts w:cs="Arial"/>
          <w:b/>
          <w:bCs/>
          <w:sz w:val="22"/>
          <w:szCs w:val="22"/>
        </w:rPr>
      </w:pPr>
      <w:r w:rsidRPr="001D51C5">
        <w:rPr>
          <w:rFonts w:cs="Arial"/>
          <w:b/>
          <w:bCs/>
          <w:sz w:val="22"/>
          <w:szCs w:val="22"/>
        </w:rPr>
        <w:t>Repeat attenders</w:t>
      </w:r>
    </w:p>
    <w:p w:rsidR="001D51C5" w:rsidRPr="001D51C5" w:rsidRDefault="001D51C5" w:rsidP="00823F6A">
      <w:pPr>
        <w:spacing w:after="200" w:line="276" w:lineRule="auto"/>
        <w:jc w:val="both"/>
        <w:rPr>
          <w:rFonts w:cs="Arial"/>
          <w:bCs/>
          <w:sz w:val="22"/>
          <w:szCs w:val="22"/>
        </w:rPr>
      </w:pPr>
      <w:r w:rsidRPr="001D51C5">
        <w:rPr>
          <w:rFonts w:cs="Arial"/>
          <w:bCs/>
          <w:sz w:val="22"/>
          <w:szCs w:val="22"/>
        </w:rPr>
        <w:t xml:space="preserve">Activity data should differentiate between number of quit attempts and number of individual clients. As part of the assessment process the provider should ensure that clients are suitably motivated and supported to quit via the most appropriate modality for the individual </w:t>
      </w:r>
      <w:r w:rsidRPr="001D51C5">
        <w:rPr>
          <w:rFonts w:cs="Arial"/>
          <w:bCs/>
          <w:sz w:val="22"/>
          <w:szCs w:val="22"/>
        </w:rPr>
        <w:lastRenderedPageBreak/>
        <w:t xml:space="preserve">at that time. As a guide, clients receiving medication should have a period of 6 months between repeat attempts. </w:t>
      </w:r>
    </w:p>
    <w:p w:rsidR="001D51C5" w:rsidRPr="001D51C5" w:rsidRDefault="001D51C5" w:rsidP="00823F6A">
      <w:pPr>
        <w:spacing w:after="200" w:line="276" w:lineRule="auto"/>
        <w:jc w:val="both"/>
        <w:rPr>
          <w:rFonts w:cs="Arial"/>
          <w:b/>
          <w:bCs/>
          <w:sz w:val="22"/>
          <w:szCs w:val="22"/>
        </w:rPr>
      </w:pPr>
    </w:p>
    <w:p w:rsidR="001D51C5" w:rsidRPr="001D51C5" w:rsidRDefault="001D51C5" w:rsidP="00823F6A">
      <w:pPr>
        <w:spacing w:after="200" w:line="276" w:lineRule="auto"/>
        <w:jc w:val="both"/>
        <w:rPr>
          <w:rFonts w:cs="Arial"/>
          <w:b/>
          <w:bCs/>
          <w:sz w:val="22"/>
          <w:szCs w:val="22"/>
        </w:rPr>
      </w:pPr>
      <w:r w:rsidRPr="001D51C5">
        <w:rPr>
          <w:rFonts w:cs="Arial"/>
          <w:b/>
          <w:bCs/>
          <w:sz w:val="22"/>
          <w:szCs w:val="22"/>
        </w:rPr>
        <w:t>Service marketing and health promotion literature</w:t>
      </w:r>
    </w:p>
    <w:p w:rsidR="001D51C5" w:rsidRPr="001D51C5" w:rsidRDefault="001D51C5" w:rsidP="00823F6A">
      <w:pPr>
        <w:spacing w:after="200" w:line="276" w:lineRule="auto"/>
        <w:jc w:val="both"/>
        <w:rPr>
          <w:rFonts w:cs="Arial"/>
          <w:bCs/>
          <w:sz w:val="22"/>
          <w:szCs w:val="22"/>
        </w:rPr>
      </w:pPr>
      <w:r w:rsidRPr="001D51C5">
        <w:rPr>
          <w:rFonts w:cs="Arial"/>
          <w:bCs/>
          <w:sz w:val="22"/>
          <w:szCs w:val="22"/>
        </w:rPr>
        <w:t>Marketing of the service and provision of accurate and up to date smoke free literature is the responsibility of the provider. The provider should produce an annual plan for approval by the commissioners.</w:t>
      </w:r>
    </w:p>
    <w:p w:rsidR="001D51C5" w:rsidRPr="001D51C5" w:rsidRDefault="001D51C5" w:rsidP="00823F6A">
      <w:pPr>
        <w:spacing w:after="200" w:line="276" w:lineRule="auto"/>
        <w:jc w:val="both"/>
        <w:rPr>
          <w:rFonts w:cs="Arial"/>
          <w:bCs/>
          <w:sz w:val="22"/>
          <w:szCs w:val="22"/>
        </w:rPr>
      </w:pPr>
      <w:r w:rsidRPr="001D51C5">
        <w:rPr>
          <w:rFonts w:cs="Arial"/>
          <w:bCs/>
          <w:sz w:val="22"/>
          <w:szCs w:val="22"/>
        </w:rPr>
        <w:t xml:space="preserve">All materials should carry the name of the service prominently and use the national smoke free logo and </w:t>
      </w:r>
      <w:proofErr w:type="spellStart"/>
      <w:r w:rsidRPr="001D51C5">
        <w:rPr>
          <w:rFonts w:cs="Arial"/>
          <w:bCs/>
          <w:sz w:val="22"/>
          <w:szCs w:val="22"/>
        </w:rPr>
        <w:t>colours</w:t>
      </w:r>
      <w:proofErr w:type="spellEnd"/>
      <w:r w:rsidRPr="001D51C5">
        <w:rPr>
          <w:rFonts w:cs="Arial"/>
          <w:bCs/>
          <w:sz w:val="22"/>
          <w:szCs w:val="22"/>
        </w:rPr>
        <w:t xml:space="preserve">. Online and other written materials should be in formats suitable for the client group. </w:t>
      </w:r>
    </w:p>
    <w:p w:rsidR="001D51C5" w:rsidRPr="001D51C5" w:rsidRDefault="001D51C5" w:rsidP="00823F6A">
      <w:pPr>
        <w:spacing w:after="200" w:line="276" w:lineRule="auto"/>
        <w:jc w:val="both"/>
        <w:rPr>
          <w:rFonts w:cs="Arial"/>
          <w:bCs/>
          <w:sz w:val="22"/>
          <w:szCs w:val="22"/>
        </w:rPr>
      </w:pPr>
      <w:r w:rsidRPr="001D51C5">
        <w:rPr>
          <w:rFonts w:cs="Arial"/>
          <w:bCs/>
          <w:sz w:val="22"/>
          <w:szCs w:val="22"/>
        </w:rPr>
        <w:t xml:space="preserve">The provider may include their </w:t>
      </w:r>
      <w:proofErr w:type="spellStart"/>
      <w:r w:rsidRPr="001D51C5">
        <w:rPr>
          <w:rFonts w:cs="Arial"/>
          <w:bCs/>
          <w:sz w:val="22"/>
          <w:szCs w:val="22"/>
        </w:rPr>
        <w:t>organisational</w:t>
      </w:r>
      <w:proofErr w:type="spellEnd"/>
      <w:r w:rsidRPr="001D51C5">
        <w:rPr>
          <w:rFonts w:cs="Arial"/>
          <w:bCs/>
          <w:sz w:val="22"/>
          <w:szCs w:val="22"/>
        </w:rPr>
        <w:t xml:space="preserve"> name in small print only.  All materials should be shared with the commissioner for approval.</w:t>
      </w:r>
    </w:p>
    <w:p w:rsidR="001D51C5" w:rsidRPr="001D51C5" w:rsidRDefault="001D51C5" w:rsidP="00823F6A">
      <w:pPr>
        <w:spacing w:after="200" w:line="276" w:lineRule="auto"/>
        <w:jc w:val="both"/>
        <w:rPr>
          <w:rFonts w:cs="Arial"/>
          <w:bCs/>
          <w:sz w:val="22"/>
          <w:szCs w:val="22"/>
        </w:rPr>
      </w:pPr>
      <w:r w:rsidRPr="001D51C5">
        <w:rPr>
          <w:rFonts w:cs="Arial"/>
          <w:bCs/>
          <w:sz w:val="22"/>
          <w:szCs w:val="22"/>
        </w:rPr>
        <w:t>The commissioners and their communications team should be notified in advance of any significant service activity such as key promotional events or other newsworthy activities.</w:t>
      </w:r>
    </w:p>
    <w:p w:rsidR="001D51C5" w:rsidRPr="001D51C5" w:rsidRDefault="001D51C5" w:rsidP="00823F6A">
      <w:pPr>
        <w:spacing w:after="200" w:line="276" w:lineRule="auto"/>
        <w:jc w:val="both"/>
        <w:rPr>
          <w:rFonts w:cs="Arial"/>
          <w:b/>
          <w:bCs/>
          <w:sz w:val="22"/>
          <w:szCs w:val="22"/>
        </w:rPr>
      </w:pPr>
      <w:r w:rsidRPr="001D51C5">
        <w:rPr>
          <w:rFonts w:cs="Arial"/>
          <w:b/>
          <w:bCs/>
          <w:sz w:val="22"/>
          <w:szCs w:val="22"/>
        </w:rPr>
        <w:t>Equipment</w:t>
      </w:r>
    </w:p>
    <w:p w:rsidR="001D51C5" w:rsidRPr="001D51C5" w:rsidRDefault="001D51C5" w:rsidP="00823F6A">
      <w:pPr>
        <w:spacing w:after="200" w:line="276" w:lineRule="auto"/>
        <w:jc w:val="both"/>
        <w:rPr>
          <w:rFonts w:cs="Arial"/>
          <w:bCs/>
          <w:sz w:val="22"/>
          <w:szCs w:val="22"/>
        </w:rPr>
      </w:pPr>
      <w:r w:rsidRPr="001D51C5">
        <w:rPr>
          <w:rFonts w:cs="Arial"/>
          <w:bCs/>
          <w:sz w:val="22"/>
          <w:szCs w:val="22"/>
        </w:rPr>
        <w:t>The provider is responsible for the provision of all equipment necessary for the delivery of the</w:t>
      </w:r>
      <w:r w:rsidRPr="001D51C5">
        <w:rPr>
          <w:rFonts w:cs="Arial"/>
          <w:b/>
          <w:bCs/>
          <w:sz w:val="22"/>
          <w:szCs w:val="22"/>
        </w:rPr>
        <w:t xml:space="preserve"> service </w:t>
      </w:r>
      <w:r w:rsidRPr="001D51C5">
        <w:rPr>
          <w:rFonts w:cs="Arial"/>
          <w:bCs/>
          <w:sz w:val="22"/>
          <w:szCs w:val="22"/>
        </w:rPr>
        <w:t xml:space="preserve">and to use and maintain in accordance with the manufacturers’ instructions and current infection control guidance. </w:t>
      </w:r>
    </w:p>
    <w:p w:rsidR="001D51C5" w:rsidRPr="001D51C5" w:rsidRDefault="001D51C5" w:rsidP="00823F6A">
      <w:pPr>
        <w:spacing w:after="200" w:line="276" w:lineRule="auto"/>
        <w:jc w:val="both"/>
        <w:rPr>
          <w:rFonts w:cs="Arial"/>
          <w:b/>
          <w:bCs/>
          <w:sz w:val="22"/>
          <w:szCs w:val="22"/>
        </w:rPr>
      </w:pPr>
      <w:r w:rsidRPr="001D51C5">
        <w:rPr>
          <w:rFonts w:cs="Arial"/>
          <w:b/>
          <w:bCs/>
          <w:sz w:val="22"/>
          <w:szCs w:val="22"/>
        </w:rPr>
        <w:t>Service Development</w:t>
      </w:r>
    </w:p>
    <w:p w:rsidR="001D51C5" w:rsidRPr="001D51C5" w:rsidRDefault="001D51C5" w:rsidP="00823F6A">
      <w:pPr>
        <w:spacing w:after="200" w:line="276" w:lineRule="auto"/>
        <w:jc w:val="both"/>
        <w:rPr>
          <w:rFonts w:cs="Arial"/>
          <w:bCs/>
          <w:sz w:val="22"/>
          <w:szCs w:val="22"/>
        </w:rPr>
      </w:pPr>
      <w:r w:rsidRPr="001D51C5">
        <w:rPr>
          <w:rFonts w:cs="Arial"/>
          <w:bCs/>
          <w:sz w:val="22"/>
          <w:szCs w:val="22"/>
        </w:rPr>
        <w:t>The provider should have a programme of clinical audit agreed with the commissioners annually to support the developmental nature of this service.</w:t>
      </w:r>
    </w:p>
    <w:p w:rsidR="00606D44" w:rsidRDefault="00606D44" w:rsidP="00061782">
      <w:pPr>
        <w:rPr>
          <w:sz w:val="22"/>
          <w:szCs w:val="22"/>
        </w:rPr>
      </w:pPr>
    </w:p>
    <w:p w:rsidR="00606D44" w:rsidRPr="00180A55" w:rsidRDefault="00606D44" w:rsidP="00606D44">
      <w:pPr>
        <w:rPr>
          <w:i/>
          <w:sz w:val="22"/>
          <w:szCs w:val="22"/>
        </w:rPr>
      </w:pPr>
      <w:r w:rsidRPr="00180A55">
        <w:rPr>
          <w:i/>
          <w:sz w:val="22"/>
          <w:szCs w:val="22"/>
        </w:rPr>
        <w:t>The Financial Impacts</w:t>
      </w:r>
    </w:p>
    <w:p w:rsidR="00606D44" w:rsidRPr="00D15F76" w:rsidRDefault="00606D44" w:rsidP="00061782">
      <w:pPr>
        <w:rPr>
          <w:sz w:val="22"/>
          <w:szCs w:val="22"/>
        </w:rPr>
      </w:pPr>
    </w:p>
    <w:p w:rsidR="00606D44" w:rsidRDefault="00490CEF" w:rsidP="00606D44">
      <w:pPr>
        <w:rPr>
          <w:rFonts w:cs="Arial"/>
          <w:sz w:val="22"/>
          <w:szCs w:val="22"/>
        </w:rPr>
      </w:pPr>
      <w:r w:rsidRPr="00D15F76">
        <w:rPr>
          <w:rFonts w:cs="Arial"/>
          <w:b/>
          <w:sz w:val="22"/>
          <w:szCs w:val="22"/>
        </w:rPr>
        <w:t xml:space="preserve">Table </w:t>
      </w:r>
      <w:r w:rsidR="00961995">
        <w:rPr>
          <w:rFonts w:cs="Arial"/>
          <w:b/>
          <w:sz w:val="22"/>
          <w:szCs w:val="22"/>
        </w:rPr>
        <w:t>10</w:t>
      </w:r>
      <w:r w:rsidRPr="00D15F76">
        <w:rPr>
          <w:rFonts w:cs="Arial"/>
          <w:b/>
          <w:sz w:val="22"/>
          <w:szCs w:val="22"/>
        </w:rPr>
        <w:t>:</w:t>
      </w:r>
      <w:r w:rsidRPr="00D15F76">
        <w:rPr>
          <w:rFonts w:cs="Arial"/>
          <w:sz w:val="22"/>
          <w:szCs w:val="22"/>
        </w:rPr>
        <w:t xml:space="preserve"> Financial cost for Doncaster Stop Smoking Service</w:t>
      </w:r>
    </w:p>
    <w:tbl>
      <w:tblPr>
        <w:tblW w:w="8789" w:type="dxa"/>
        <w:tblInd w:w="-34" w:type="dxa"/>
        <w:tblLayout w:type="fixed"/>
        <w:tblLook w:val="01E0" w:firstRow="1" w:lastRow="1" w:firstColumn="1" w:lastColumn="1" w:noHBand="0" w:noVBand="0"/>
      </w:tblPr>
      <w:tblGrid>
        <w:gridCol w:w="2552"/>
        <w:gridCol w:w="1399"/>
        <w:gridCol w:w="1843"/>
        <w:gridCol w:w="1559"/>
        <w:gridCol w:w="1418"/>
        <w:gridCol w:w="18"/>
      </w:tblGrid>
      <w:tr w:rsidR="0076651B" w:rsidRPr="0076651B" w:rsidTr="00E12355">
        <w:trPr>
          <w:trHeight w:val="1022"/>
        </w:trPr>
        <w:tc>
          <w:tcPr>
            <w:tcW w:w="2552" w:type="dxa"/>
            <w:tcBorders>
              <w:top w:val="single" w:sz="6" w:space="0" w:color="999999"/>
              <w:left w:val="single" w:sz="4" w:space="0" w:color="999999"/>
              <w:right w:val="single" w:sz="4" w:space="0" w:color="999999"/>
            </w:tcBorders>
            <w:shd w:val="clear" w:color="auto" w:fill="BFBFBF"/>
          </w:tcPr>
          <w:p w:rsidR="0076651B" w:rsidRPr="0076651B" w:rsidRDefault="0076651B" w:rsidP="0076651B">
            <w:pPr>
              <w:overflowPunct/>
              <w:autoSpaceDE/>
              <w:autoSpaceDN/>
              <w:adjustRightInd/>
              <w:ind w:right="26"/>
              <w:jc w:val="both"/>
              <w:textAlignment w:val="auto"/>
              <w:rPr>
                <w:rFonts w:cs="Arial"/>
                <w:szCs w:val="24"/>
                <w:lang w:val="en-GB"/>
              </w:rPr>
            </w:pPr>
          </w:p>
        </w:tc>
        <w:tc>
          <w:tcPr>
            <w:tcW w:w="6237" w:type="dxa"/>
            <w:gridSpan w:val="5"/>
            <w:tcBorders>
              <w:top w:val="single" w:sz="6" w:space="0" w:color="999999"/>
              <w:left w:val="single" w:sz="4" w:space="0" w:color="999999"/>
              <w:right w:val="single" w:sz="4" w:space="0" w:color="999999"/>
            </w:tcBorders>
            <w:shd w:val="clear" w:color="auto" w:fill="BFBFBF"/>
          </w:tcPr>
          <w:p w:rsidR="0076651B" w:rsidRPr="0076651B" w:rsidRDefault="0076651B" w:rsidP="0076651B">
            <w:pPr>
              <w:overflowPunct/>
              <w:autoSpaceDE/>
              <w:autoSpaceDN/>
              <w:adjustRightInd/>
              <w:ind w:right="26"/>
              <w:jc w:val="both"/>
              <w:textAlignment w:val="auto"/>
              <w:rPr>
                <w:rFonts w:cs="Arial"/>
                <w:szCs w:val="24"/>
                <w:lang w:val="en-GB"/>
              </w:rPr>
            </w:pPr>
          </w:p>
          <w:p w:rsidR="0076651B" w:rsidRPr="0076651B" w:rsidRDefault="0076651B" w:rsidP="0076651B">
            <w:pPr>
              <w:overflowPunct/>
              <w:autoSpaceDE/>
              <w:autoSpaceDN/>
              <w:adjustRightInd/>
              <w:ind w:right="26"/>
              <w:jc w:val="both"/>
              <w:textAlignment w:val="auto"/>
              <w:rPr>
                <w:rFonts w:cs="Arial"/>
                <w:szCs w:val="24"/>
                <w:lang w:val="en-GB"/>
              </w:rPr>
            </w:pPr>
            <w:r w:rsidRPr="0076651B">
              <w:rPr>
                <w:rFonts w:cs="Arial"/>
                <w:szCs w:val="24"/>
                <w:lang w:val="en-GB"/>
              </w:rPr>
              <w:t>Finance schedule (indicative breakdown based upon available budget), the final schedule will be based upon the tenderers bid.</w:t>
            </w:r>
          </w:p>
          <w:p w:rsidR="0076651B" w:rsidRPr="0076651B" w:rsidRDefault="0076651B" w:rsidP="0076651B">
            <w:pPr>
              <w:overflowPunct/>
              <w:autoSpaceDE/>
              <w:autoSpaceDN/>
              <w:adjustRightInd/>
              <w:ind w:right="26"/>
              <w:jc w:val="both"/>
              <w:textAlignment w:val="auto"/>
              <w:rPr>
                <w:rFonts w:cs="Arial"/>
                <w:szCs w:val="24"/>
                <w:lang w:val="en-GB"/>
              </w:rPr>
            </w:pPr>
          </w:p>
        </w:tc>
      </w:tr>
      <w:tr w:rsidR="0076651B" w:rsidRPr="0076651B" w:rsidTr="00E12355">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Ex>
        <w:trPr>
          <w:gridAfter w:val="1"/>
          <w:wAfter w:w="18" w:type="dxa"/>
          <w:trHeight w:val="300"/>
        </w:trPr>
        <w:tc>
          <w:tcPr>
            <w:tcW w:w="2552" w:type="dxa"/>
            <w:tcBorders>
              <w:top w:val="nil"/>
              <w:bottom w:val="single" w:sz="4" w:space="0" w:color="auto"/>
              <w:right w:val="single" w:sz="4" w:space="0" w:color="auto"/>
            </w:tcBorders>
            <w:shd w:val="clear" w:color="auto" w:fill="auto"/>
            <w:noWrap/>
            <w:vAlign w:val="bottom"/>
            <w:hideMark/>
          </w:tcPr>
          <w:p w:rsidR="0076651B" w:rsidRPr="0076651B" w:rsidRDefault="0076651B" w:rsidP="0076651B">
            <w:pPr>
              <w:overflowPunct/>
              <w:autoSpaceDE/>
              <w:autoSpaceDN/>
              <w:adjustRightInd/>
              <w:textAlignment w:val="auto"/>
              <w:rPr>
                <w:rFonts w:cs="Arial"/>
                <w:bCs/>
                <w:sz w:val="22"/>
                <w:szCs w:val="24"/>
                <w:lang w:val="en-GB" w:eastAsia="en-GB"/>
              </w:rPr>
            </w:pPr>
            <w:r w:rsidRPr="0076651B">
              <w:rPr>
                <w:rFonts w:cs="Arial"/>
                <w:bCs/>
                <w:sz w:val="22"/>
                <w:szCs w:val="24"/>
                <w:lang w:val="en-GB" w:eastAsia="en-GB"/>
              </w:rPr>
              <w:t>Service Costs</w:t>
            </w:r>
          </w:p>
        </w:tc>
        <w:tc>
          <w:tcPr>
            <w:tcW w:w="1399" w:type="dxa"/>
            <w:tcBorders>
              <w:top w:val="nil"/>
              <w:left w:val="single" w:sz="4" w:space="0" w:color="auto"/>
              <w:bottom w:val="single" w:sz="4" w:space="0" w:color="auto"/>
              <w:right w:val="single" w:sz="4" w:space="0" w:color="auto"/>
            </w:tcBorders>
            <w:vAlign w:val="bottom"/>
          </w:tcPr>
          <w:p w:rsidR="0076651B" w:rsidRPr="0076651B" w:rsidRDefault="0076651B" w:rsidP="0076651B">
            <w:pPr>
              <w:overflowPunct/>
              <w:autoSpaceDE/>
              <w:autoSpaceDN/>
              <w:adjustRightInd/>
              <w:jc w:val="right"/>
              <w:textAlignment w:val="auto"/>
              <w:rPr>
                <w:rFonts w:cs="Arial"/>
                <w:bCs/>
                <w:sz w:val="22"/>
                <w:szCs w:val="24"/>
                <w:lang w:val="en-GB" w:eastAsia="en-GB"/>
              </w:rPr>
            </w:pPr>
            <w:r w:rsidRPr="0076651B">
              <w:rPr>
                <w:rFonts w:cs="Arial"/>
                <w:bCs/>
                <w:sz w:val="22"/>
                <w:szCs w:val="24"/>
                <w:lang w:val="en-GB" w:eastAsia="en-GB"/>
              </w:rPr>
              <w:t>2017/18</w:t>
            </w:r>
          </w:p>
        </w:tc>
        <w:tc>
          <w:tcPr>
            <w:tcW w:w="1843" w:type="dxa"/>
            <w:tcBorders>
              <w:top w:val="nil"/>
              <w:left w:val="single" w:sz="4" w:space="0" w:color="auto"/>
              <w:bottom w:val="single" w:sz="4" w:space="0" w:color="auto"/>
            </w:tcBorders>
            <w:shd w:val="clear" w:color="auto" w:fill="auto"/>
            <w:noWrap/>
            <w:vAlign w:val="bottom"/>
          </w:tcPr>
          <w:p w:rsidR="0076651B" w:rsidRPr="0076651B" w:rsidRDefault="0076651B" w:rsidP="0076651B">
            <w:pPr>
              <w:overflowPunct/>
              <w:autoSpaceDE/>
              <w:autoSpaceDN/>
              <w:adjustRightInd/>
              <w:jc w:val="right"/>
              <w:textAlignment w:val="auto"/>
              <w:rPr>
                <w:rFonts w:cs="Arial"/>
                <w:bCs/>
                <w:sz w:val="22"/>
                <w:szCs w:val="24"/>
                <w:lang w:val="en-GB" w:eastAsia="en-GB"/>
              </w:rPr>
            </w:pPr>
            <w:r w:rsidRPr="0076651B">
              <w:rPr>
                <w:rFonts w:cs="Arial"/>
                <w:bCs/>
                <w:sz w:val="22"/>
                <w:szCs w:val="24"/>
                <w:lang w:val="en-GB" w:eastAsia="en-GB"/>
              </w:rPr>
              <w:t>2018/19</w:t>
            </w:r>
          </w:p>
        </w:tc>
        <w:tc>
          <w:tcPr>
            <w:tcW w:w="1559" w:type="dxa"/>
            <w:tcBorders>
              <w:top w:val="nil"/>
              <w:bottom w:val="single" w:sz="4" w:space="0" w:color="auto"/>
            </w:tcBorders>
            <w:shd w:val="clear" w:color="auto" w:fill="auto"/>
            <w:noWrap/>
            <w:vAlign w:val="bottom"/>
          </w:tcPr>
          <w:p w:rsidR="0076651B" w:rsidRPr="0076651B" w:rsidRDefault="0076651B" w:rsidP="0076651B">
            <w:pPr>
              <w:overflowPunct/>
              <w:autoSpaceDE/>
              <w:autoSpaceDN/>
              <w:adjustRightInd/>
              <w:jc w:val="right"/>
              <w:textAlignment w:val="auto"/>
              <w:rPr>
                <w:rFonts w:cs="Arial"/>
                <w:bCs/>
                <w:sz w:val="22"/>
                <w:szCs w:val="24"/>
                <w:lang w:val="en-GB" w:eastAsia="en-GB"/>
              </w:rPr>
            </w:pPr>
            <w:r w:rsidRPr="0076651B">
              <w:rPr>
                <w:rFonts w:cs="Arial"/>
                <w:bCs/>
                <w:sz w:val="22"/>
                <w:szCs w:val="24"/>
                <w:lang w:val="en-GB" w:eastAsia="en-GB"/>
              </w:rPr>
              <w:t>2019/20</w:t>
            </w:r>
          </w:p>
        </w:tc>
        <w:tc>
          <w:tcPr>
            <w:tcW w:w="1418" w:type="dxa"/>
            <w:tcBorders>
              <w:top w:val="nil"/>
              <w:bottom w:val="single" w:sz="4" w:space="0" w:color="auto"/>
            </w:tcBorders>
            <w:shd w:val="clear" w:color="auto" w:fill="auto"/>
            <w:noWrap/>
            <w:vAlign w:val="bottom"/>
          </w:tcPr>
          <w:p w:rsidR="0076651B" w:rsidRPr="0076651B" w:rsidRDefault="0076651B" w:rsidP="0076651B">
            <w:pPr>
              <w:overflowPunct/>
              <w:autoSpaceDE/>
              <w:autoSpaceDN/>
              <w:adjustRightInd/>
              <w:jc w:val="right"/>
              <w:textAlignment w:val="auto"/>
              <w:rPr>
                <w:rFonts w:cs="Arial"/>
                <w:bCs/>
                <w:sz w:val="22"/>
                <w:szCs w:val="24"/>
                <w:lang w:val="en-GB" w:eastAsia="en-GB"/>
              </w:rPr>
            </w:pPr>
            <w:r w:rsidRPr="0076651B">
              <w:rPr>
                <w:rFonts w:cs="Arial"/>
                <w:bCs/>
                <w:sz w:val="22"/>
                <w:szCs w:val="24"/>
                <w:lang w:val="en-GB" w:eastAsia="en-GB"/>
              </w:rPr>
              <w:t>2020/21</w:t>
            </w:r>
          </w:p>
        </w:tc>
      </w:tr>
      <w:tr w:rsidR="0076651B" w:rsidRPr="0076651B" w:rsidTr="00E12355">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Ex>
        <w:trPr>
          <w:gridAfter w:val="1"/>
          <w:wAfter w:w="18" w:type="dxa"/>
          <w:trHeight w:val="311"/>
        </w:trPr>
        <w:tc>
          <w:tcPr>
            <w:tcW w:w="2552" w:type="dxa"/>
            <w:tcBorders>
              <w:top w:val="single" w:sz="4" w:space="0" w:color="auto"/>
              <w:right w:val="single" w:sz="4" w:space="0" w:color="auto"/>
            </w:tcBorders>
            <w:shd w:val="clear" w:color="auto" w:fill="auto"/>
            <w:noWrap/>
            <w:vAlign w:val="bottom"/>
            <w:hideMark/>
          </w:tcPr>
          <w:p w:rsidR="0076651B" w:rsidRPr="0076651B" w:rsidRDefault="0076651B" w:rsidP="0076651B">
            <w:pPr>
              <w:overflowPunct/>
              <w:autoSpaceDE/>
              <w:autoSpaceDN/>
              <w:adjustRightInd/>
              <w:textAlignment w:val="auto"/>
              <w:rPr>
                <w:rFonts w:cs="Arial"/>
                <w:bCs/>
                <w:sz w:val="22"/>
                <w:szCs w:val="24"/>
                <w:lang w:val="en-GB" w:eastAsia="en-GB"/>
              </w:rPr>
            </w:pPr>
            <w:r w:rsidRPr="0076651B">
              <w:rPr>
                <w:rFonts w:cs="Arial"/>
                <w:bCs/>
                <w:sz w:val="22"/>
                <w:szCs w:val="24"/>
                <w:lang w:val="en-GB" w:eastAsia="en-GB"/>
              </w:rPr>
              <w:t>Service costs (90%)</w:t>
            </w:r>
          </w:p>
        </w:tc>
        <w:tc>
          <w:tcPr>
            <w:tcW w:w="1399" w:type="dxa"/>
            <w:vMerge w:val="restart"/>
            <w:tcBorders>
              <w:top w:val="single" w:sz="4" w:space="0" w:color="auto"/>
              <w:left w:val="single" w:sz="4" w:space="0" w:color="auto"/>
              <w:right w:val="single" w:sz="4" w:space="0" w:color="auto"/>
            </w:tcBorders>
            <w:vAlign w:val="bottom"/>
          </w:tcPr>
          <w:p w:rsidR="0076651B" w:rsidRPr="0076651B" w:rsidRDefault="0076651B" w:rsidP="0076651B">
            <w:pPr>
              <w:overflowPunct/>
              <w:autoSpaceDE/>
              <w:autoSpaceDN/>
              <w:adjustRightInd/>
              <w:jc w:val="right"/>
              <w:textAlignment w:val="auto"/>
              <w:rPr>
                <w:rFonts w:cs="Arial"/>
                <w:sz w:val="22"/>
                <w:szCs w:val="24"/>
                <w:lang w:val="en-GB" w:eastAsia="en-GB"/>
              </w:rPr>
            </w:pPr>
            <w:r w:rsidRPr="0076651B">
              <w:rPr>
                <w:rFonts w:cs="Arial"/>
                <w:sz w:val="22"/>
                <w:szCs w:val="24"/>
                <w:lang w:val="en-GB" w:eastAsia="en-GB"/>
              </w:rPr>
              <w:t>£447,342</w:t>
            </w:r>
          </w:p>
        </w:tc>
        <w:tc>
          <w:tcPr>
            <w:tcW w:w="1843" w:type="dxa"/>
            <w:tcBorders>
              <w:top w:val="single" w:sz="4" w:space="0" w:color="auto"/>
              <w:left w:val="single" w:sz="4" w:space="0" w:color="auto"/>
            </w:tcBorders>
            <w:shd w:val="clear" w:color="auto" w:fill="auto"/>
            <w:noWrap/>
            <w:vAlign w:val="bottom"/>
            <w:hideMark/>
          </w:tcPr>
          <w:p w:rsidR="0076651B" w:rsidRPr="0076651B" w:rsidRDefault="0076651B" w:rsidP="0076651B">
            <w:pPr>
              <w:overflowPunct/>
              <w:autoSpaceDE/>
              <w:autoSpaceDN/>
              <w:adjustRightInd/>
              <w:jc w:val="right"/>
              <w:textAlignment w:val="auto"/>
              <w:rPr>
                <w:rFonts w:cs="Arial"/>
                <w:sz w:val="22"/>
                <w:szCs w:val="24"/>
                <w:lang w:val="en-GB" w:eastAsia="en-GB"/>
              </w:rPr>
            </w:pPr>
            <w:r w:rsidRPr="0076651B">
              <w:rPr>
                <w:rFonts w:cs="Arial"/>
                <w:sz w:val="22"/>
                <w:szCs w:val="24"/>
                <w:lang w:val="en-GB" w:eastAsia="en-GB"/>
              </w:rPr>
              <w:t>£413,790</w:t>
            </w:r>
          </w:p>
        </w:tc>
        <w:tc>
          <w:tcPr>
            <w:tcW w:w="1559" w:type="dxa"/>
            <w:tcBorders>
              <w:top w:val="single" w:sz="4" w:space="0" w:color="auto"/>
            </w:tcBorders>
            <w:shd w:val="clear" w:color="auto" w:fill="auto"/>
            <w:noWrap/>
            <w:vAlign w:val="bottom"/>
          </w:tcPr>
          <w:p w:rsidR="0076651B" w:rsidRPr="0076651B" w:rsidRDefault="0076651B" w:rsidP="0076651B">
            <w:pPr>
              <w:overflowPunct/>
              <w:autoSpaceDE/>
              <w:autoSpaceDN/>
              <w:adjustRightInd/>
              <w:jc w:val="right"/>
              <w:textAlignment w:val="auto"/>
              <w:rPr>
                <w:rFonts w:cs="Arial"/>
                <w:sz w:val="22"/>
                <w:szCs w:val="24"/>
                <w:lang w:val="en-GB" w:eastAsia="en-GB"/>
              </w:rPr>
            </w:pPr>
            <w:r w:rsidRPr="0076651B">
              <w:rPr>
                <w:rFonts w:cs="Arial"/>
                <w:sz w:val="22"/>
                <w:szCs w:val="24"/>
                <w:lang w:val="en-GB" w:eastAsia="en-GB"/>
              </w:rPr>
              <w:t>£363,105</w:t>
            </w:r>
          </w:p>
        </w:tc>
        <w:tc>
          <w:tcPr>
            <w:tcW w:w="1418" w:type="dxa"/>
            <w:tcBorders>
              <w:top w:val="single" w:sz="4" w:space="0" w:color="auto"/>
            </w:tcBorders>
            <w:shd w:val="clear" w:color="auto" w:fill="auto"/>
            <w:noWrap/>
            <w:vAlign w:val="bottom"/>
          </w:tcPr>
          <w:p w:rsidR="0076651B" w:rsidRPr="0076651B" w:rsidRDefault="0076651B" w:rsidP="0076651B">
            <w:pPr>
              <w:overflowPunct/>
              <w:autoSpaceDE/>
              <w:autoSpaceDN/>
              <w:adjustRightInd/>
              <w:jc w:val="right"/>
              <w:textAlignment w:val="auto"/>
              <w:rPr>
                <w:rFonts w:cs="Arial"/>
                <w:sz w:val="22"/>
                <w:szCs w:val="24"/>
                <w:lang w:val="en-GB" w:eastAsia="en-GB"/>
              </w:rPr>
            </w:pPr>
            <w:r w:rsidRPr="0076651B">
              <w:rPr>
                <w:rFonts w:cs="Arial"/>
                <w:sz w:val="22"/>
                <w:szCs w:val="24"/>
                <w:lang w:val="en-GB" w:eastAsia="en-GB"/>
              </w:rPr>
              <w:t>£354,024</w:t>
            </w:r>
          </w:p>
        </w:tc>
      </w:tr>
      <w:tr w:rsidR="0076651B" w:rsidRPr="0076651B" w:rsidTr="00E12355">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Ex>
        <w:trPr>
          <w:gridAfter w:val="1"/>
          <w:wAfter w:w="18" w:type="dxa"/>
          <w:trHeight w:val="300"/>
        </w:trPr>
        <w:tc>
          <w:tcPr>
            <w:tcW w:w="2552" w:type="dxa"/>
            <w:tcBorders>
              <w:right w:val="single" w:sz="4" w:space="0" w:color="auto"/>
            </w:tcBorders>
            <w:shd w:val="clear" w:color="auto" w:fill="auto"/>
            <w:noWrap/>
            <w:vAlign w:val="bottom"/>
            <w:hideMark/>
          </w:tcPr>
          <w:p w:rsidR="0076651B" w:rsidRPr="0076651B" w:rsidRDefault="0076651B" w:rsidP="0076651B">
            <w:pPr>
              <w:overflowPunct/>
              <w:autoSpaceDE/>
              <w:autoSpaceDN/>
              <w:adjustRightInd/>
              <w:textAlignment w:val="auto"/>
              <w:rPr>
                <w:rFonts w:cs="Arial"/>
                <w:bCs/>
                <w:sz w:val="22"/>
                <w:szCs w:val="24"/>
                <w:lang w:val="en-GB" w:eastAsia="en-GB"/>
              </w:rPr>
            </w:pPr>
            <w:r w:rsidRPr="0076651B">
              <w:rPr>
                <w:rFonts w:cs="Arial"/>
                <w:bCs/>
                <w:sz w:val="22"/>
                <w:szCs w:val="24"/>
                <w:lang w:val="en-GB" w:eastAsia="en-GB"/>
              </w:rPr>
              <w:t>Quality premium (10%)</w:t>
            </w:r>
          </w:p>
        </w:tc>
        <w:tc>
          <w:tcPr>
            <w:tcW w:w="1399" w:type="dxa"/>
            <w:vMerge/>
            <w:tcBorders>
              <w:left w:val="single" w:sz="4" w:space="0" w:color="auto"/>
              <w:right w:val="single" w:sz="4" w:space="0" w:color="auto"/>
            </w:tcBorders>
            <w:vAlign w:val="bottom"/>
          </w:tcPr>
          <w:p w:rsidR="0076651B" w:rsidRPr="0076651B" w:rsidRDefault="0076651B" w:rsidP="0076651B">
            <w:pPr>
              <w:overflowPunct/>
              <w:autoSpaceDE/>
              <w:autoSpaceDN/>
              <w:adjustRightInd/>
              <w:jc w:val="right"/>
              <w:textAlignment w:val="auto"/>
              <w:rPr>
                <w:rFonts w:cs="Arial"/>
                <w:sz w:val="22"/>
                <w:szCs w:val="24"/>
                <w:lang w:val="en-GB" w:eastAsia="en-GB"/>
              </w:rPr>
            </w:pPr>
          </w:p>
        </w:tc>
        <w:tc>
          <w:tcPr>
            <w:tcW w:w="1843" w:type="dxa"/>
            <w:tcBorders>
              <w:left w:val="single" w:sz="4" w:space="0" w:color="auto"/>
            </w:tcBorders>
            <w:shd w:val="clear" w:color="auto" w:fill="auto"/>
            <w:noWrap/>
            <w:vAlign w:val="bottom"/>
          </w:tcPr>
          <w:p w:rsidR="0076651B" w:rsidRPr="0076651B" w:rsidRDefault="0076651B" w:rsidP="0076651B">
            <w:pPr>
              <w:overflowPunct/>
              <w:autoSpaceDE/>
              <w:autoSpaceDN/>
              <w:adjustRightInd/>
              <w:jc w:val="right"/>
              <w:textAlignment w:val="auto"/>
              <w:rPr>
                <w:rFonts w:cs="Arial"/>
                <w:sz w:val="22"/>
                <w:szCs w:val="24"/>
                <w:lang w:val="en-GB" w:eastAsia="en-GB"/>
              </w:rPr>
            </w:pPr>
            <w:r w:rsidRPr="0076651B">
              <w:rPr>
                <w:rFonts w:cs="Arial"/>
                <w:sz w:val="22"/>
                <w:szCs w:val="24"/>
                <w:lang w:val="en-GB" w:eastAsia="en-GB"/>
              </w:rPr>
              <w:t>£41,379</w:t>
            </w:r>
          </w:p>
        </w:tc>
        <w:tc>
          <w:tcPr>
            <w:tcW w:w="1559" w:type="dxa"/>
            <w:shd w:val="clear" w:color="auto" w:fill="auto"/>
            <w:noWrap/>
            <w:vAlign w:val="bottom"/>
          </w:tcPr>
          <w:p w:rsidR="0076651B" w:rsidRPr="0076651B" w:rsidRDefault="0076651B" w:rsidP="0076651B">
            <w:pPr>
              <w:overflowPunct/>
              <w:autoSpaceDE/>
              <w:autoSpaceDN/>
              <w:adjustRightInd/>
              <w:jc w:val="right"/>
              <w:textAlignment w:val="auto"/>
              <w:rPr>
                <w:rFonts w:cs="Arial"/>
                <w:sz w:val="22"/>
                <w:szCs w:val="24"/>
                <w:lang w:val="en-GB" w:eastAsia="en-GB"/>
              </w:rPr>
            </w:pPr>
            <w:r w:rsidRPr="0076651B">
              <w:rPr>
                <w:rFonts w:cs="Arial"/>
                <w:sz w:val="22"/>
                <w:szCs w:val="24"/>
                <w:lang w:val="en-GB" w:eastAsia="en-GB"/>
              </w:rPr>
              <w:t>£40,345</w:t>
            </w:r>
          </w:p>
        </w:tc>
        <w:tc>
          <w:tcPr>
            <w:tcW w:w="1418" w:type="dxa"/>
            <w:shd w:val="clear" w:color="auto" w:fill="auto"/>
            <w:noWrap/>
            <w:vAlign w:val="bottom"/>
          </w:tcPr>
          <w:p w:rsidR="0076651B" w:rsidRPr="0076651B" w:rsidRDefault="0076651B" w:rsidP="0076651B">
            <w:pPr>
              <w:overflowPunct/>
              <w:autoSpaceDE/>
              <w:autoSpaceDN/>
              <w:adjustRightInd/>
              <w:jc w:val="right"/>
              <w:textAlignment w:val="auto"/>
              <w:rPr>
                <w:rFonts w:cs="Arial"/>
                <w:sz w:val="22"/>
                <w:szCs w:val="24"/>
                <w:lang w:val="en-GB" w:eastAsia="en-GB"/>
              </w:rPr>
            </w:pPr>
            <w:r w:rsidRPr="0076651B">
              <w:rPr>
                <w:rFonts w:cs="Arial"/>
                <w:sz w:val="22"/>
                <w:szCs w:val="24"/>
                <w:lang w:val="en-GB" w:eastAsia="en-GB"/>
              </w:rPr>
              <w:t>£39,336</w:t>
            </w:r>
          </w:p>
        </w:tc>
      </w:tr>
      <w:tr w:rsidR="0076651B" w:rsidRPr="0076651B" w:rsidTr="00E12355">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Ex>
        <w:trPr>
          <w:gridAfter w:val="1"/>
          <w:wAfter w:w="18" w:type="dxa"/>
          <w:trHeight w:val="300"/>
        </w:trPr>
        <w:tc>
          <w:tcPr>
            <w:tcW w:w="2552" w:type="dxa"/>
            <w:tcBorders>
              <w:bottom w:val="single" w:sz="6" w:space="0" w:color="808080"/>
              <w:right w:val="single" w:sz="4" w:space="0" w:color="auto"/>
            </w:tcBorders>
            <w:shd w:val="clear" w:color="auto" w:fill="auto"/>
            <w:noWrap/>
            <w:vAlign w:val="bottom"/>
          </w:tcPr>
          <w:p w:rsidR="0076651B" w:rsidRPr="0076651B" w:rsidRDefault="0076651B" w:rsidP="0076651B">
            <w:pPr>
              <w:overflowPunct/>
              <w:autoSpaceDE/>
              <w:autoSpaceDN/>
              <w:adjustRightInd/>
              <w:textAlignment w:val="auto"/>
              <w:rPr>
                <w:rFonts w:cs="Arial"/>
                <w:bCs/>
                <w:sz w:val="22"/>
                <w:szCs w:val="24"/>
                <w:lang w:val="en-GB" w:eastAsia="en-GB"/>
              </w:rPr>
            </w:pPr>
            <w:r w:rsidRPr="0076651B">
              <w:rPr>
                <w:rFonts w:cs="Arial"/>
                <w:bCs/>
                <w:sz w:val="22"/>
                <w:szCs w:val="24"/>
                <w:lang w:val="en-GB" w:eastAsia="en-GB"/>
              </w:rPr>
              <w:t>Medication Costs</w:t>
            </w:r>
          </w:p>
        </w:tc>
        <w:tc>
          <w:tcPr>
            <w:tcW w:w="1399" w:type="dxa"/>
            <w:tcBorders>
              <w:left w:val="single" w:sz="4" w:space="0" w:color="auto"/>
              <w:bottom w:val="single" w:sz="6" w:space="0" w:color="808080"/>
              <w:right w:val="single" w:sz="4" w:space="0" w:color="auto"/>
            </w:tcBorders>
            <w:vAlign w:val="bottom"/>
          </w:tcPr>
          <w:p w:rsidR="0076651B" w:rsidRPr="0076651B" w:rsidRDefault="0076651B" w:rsidP="0076651B">
            <w:pPr>
              <w:overflowPunct/>
              <w:autoSpaceDE/>
              <w:autoSpaceDN/>
              <w:adjustRightInd/>
              <w:jc w:val="right"/>
              <w:textAlignment w:val="auto"/>
              <w:rPr>
                <w:rFonts w:cs="Arial"/>
                <w:bCs/>
                <w:sz w:val="22"/>
                <w:szCs w:val="24"/>
                <w:lang w:val="en-GB" w:eastAsia="en-GB"/>
              </w:rPr>
            </w:pPr>
            <w:r w:rsidRPr="0076651B">
              <w:rPr>
                <w:rFonts w:cs="Arial"/>
                <w:bCs/>
                <w:sz w:val="22"/>
                <w:szCs w:val="24"/>
                <w:lang w:val="en-GB" w:eastAsia="en-GB"/>
              </w:rPr>
              <w:t>£235,353</w:t>
            </w:r>
          </w:p>
        </w:tc>
        <w:tc>
          <w:tcPr>
            <w:tcW w:w="1843" w:type="dxa"/>
            <w:tcBorders>
              <w:left w:val="single" w:sz="4" w:space="0" w:color="auto"/>
              <w:bottom w:val="single" w:sz="6" w:space="0" w:color="808080"/>
            </w:tcBorders>
            <w:shd w:val="clear" w:color="auto" w:fill="auto"/>
            <w:noWrap/>
            <w:vAlign w:val="bottom"/>
          </w:tcPr>
          <w:p w:rsidR="0076651B" w:rsidRPr="0076651B" w:rsidRDefault="0076651B" w:rsidP="0076651B">
            <w:pPr>
              <w:overflowPunct/>
              <w:autoSpaceDE/>
              <w:autoSpaceDN/>
              <w:adjustRightInd/>
              <w:jc w:val="right"/>
              <w:textAlignment w:val="auto"/>
              <w:rPr>
                <w:rFonts w:cs="Arial"/>
                <w:bCs/>
                <w:sz w:val="22"/>
                <w:szCs w:val="24"/>
                <w:lang w:val="en-GB" w:eastAsia="en-GB"/>
              </w:rPr>
            </w:pPr>
            <w:r w:rsidRPr="0076651B">
              <w:rPr>
                <w:rFonts w:cs="Arial"/>
                <w:bCs/>
                <w:sz w:val="22"/>
                <w:szCs w:val="24"/>
                <w:lang w:val="en-GB" w:eastAsia="en-GB"/>
              </w:rPr>
              <w:t>£235,630</w:t>
            </w:r>
          </w:p>
        </w:tc>
        <w:tc>
          <w:tcPr>
            <w:tcW w:w="1559" w:type="dxa"/>
            <w:tcBorders>
              <w:bottom w:val="single" w:sz="6" w:space="0" w:color="808080"/>
            </w:tcBorders>
            <w:shd w:val="clear" w:color="auto" w:fill="auto"/>
            <w:noWrap/>
            <w:vAlign w:val="bottom"/>
          </w:tcPr>
          <w:p w:rsidR="0076651B" w:rsidRPr="0076651B" w:rsidRDefault="0076651B" w:rsidP="0076651B">
            <w:pPr>
              <w:overflowPunct/>
              <w:autoSpaceDE/>
              <w:autoSpaceDN/>
              <w:adjustRightInd/>
              <w:jc w:val="right"/>
              <w:textAlignment w:val="auto"/>
              <w:rPr>
                <w:rFonts w:cs="Arial"/>
                <w:bCs/>
                <w:sz w:val="22"/>
                <w:szCs w:val="24"/>
                <w:lang w:val="en-GB" w:eastAsia="en-GB"/>
              </w:rPr>
            </w:pPr>
            <w:r w:rsidRPr="0076651B">
              <w:rPr>
                <w:rFonts w:cs="Arial"/>
                <w:bCs/>
                <w:sz w:val="22"/>
                <w:szCs w:val="24"/>
                <w:lang w:val="en-GB" w:eastAsia="en-GB"/>
              </w:rPr>
              <w:t>£235,630</w:t>
            </w:r>
          </w:p>
        </w:tc>
        <w:tc>
          <w:tcPr>
            <w:tcW w:w="1418" w:type="dxa"/>
            <w:tcBorders>
              <w:bottom w:val="single" w:sz="6" w:space="0" w:color="808080"/>
            </w:tcBorders>
            <w:shd w:val="clear" w:color="auto" w:fill="auto"/>
            <w:noWrap/>
            <w:vAlign w:val="bottom"/>
          </w:tcPr>
          <w:p w:rsidR="0076651B" w:rsidRPr="0076651B" w:rsidRDefault="0076651B" w:rsidP="0076651B">
            <w:pPr>
              <w:overflowPunct/>
              <w:autoSpaceDE/>
              <w:autoSpaceDN/>
              <w:adjustRightInd/>
              <w:jc w:val="right"/>
              <w:textAlignment w:val="auto"/>
              <w:rPr>
                <w:rFonts w:cs="Arial"/>
                <w:bCs/>
                <w:sz w:val="22"/>
                <w:szCs w:val="24"/>
                <w:lang w:val="en-GB" w:eastAsia="en-GB"/>
              </w:rPr>
            </w:pPr>
            <w:r w:rsidRPr="0076651B">
              <w:rPr>
                <w:rFonts w:cs="Arial"/>
                <w:bCs/>
                <w:sz w:val="22"/>
                <w:szCs w:val="24"/>
                <w:lang w:val="en-GB" w:eastAsia="en-GB"/>
              </w:rPr>
              <w:t>£235,630</w:t>
            </w:r>
          </w:p>
        </w:tc>
      </w:tr>
      <w:tr w:rsidR="0076651B" w:rsidRPr="0076651B" w:rsidTr="00E12355">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Ex>
        <w:trPr>
          <w:gridAfter w:val="1"/>
          <w:wAfter w:w="18" w:type="dxa"/>
          <w:trHeight w:val="300"/>
        </w:trPr>
        <w:tc>
          <w:tcPr>
            <w:tcW w:w="2552" w:type="dxa"/>
            <w:tcBorders>
              <w:bottom w:val="single" w:sz="4" w:space="0" w:color="auto"/>
              <w:right w:val="single" w:sz="4" w:space="0" w:color="auto"/>
            </w:tcBorders>
            <w:shd w:val="clear" w:color="auto" w:fill="auto"/>
            <w:noWrap/>
            <w:vAlign w:val="bottom"/>
            <w:hideMark/>
          </w:tcPr>
          <w:p w:rsidR="0076651B" w:rsidRPr="0076651B" w:rsidRDefault="0076651B" w:rsidP="0076651B">
            <w:pPr>
              <w:overflowPunct/>
              <w:autoSpaceDE/>
              <w:autoSpaceDN/>
              <w:adjustRightInd/>
              <w:textAlignment w:val="auto"/>
              <w:rPr>
                <w:rFonts w:cs="Arial"/>
                <w:bCs/>
                <w:sz w:val="22"/>
                <w:szCs w:val="24"/>
                <w:lang w:val="en-GB" w:eastAsia="en-GB"/>
              </w:rPr>
            </w:pPr>
            <w:r w:rsidRPr="0076651B">
              <w:rPr>
                <w:rFonts w:cs="Arial"/>
                <w:bCs/>
                <w:sz w:val="22"/>
                <w:szCs w:val="24"/>
                <w:lang w:val="en-GB" w:eastAsia="en-GB"/>
              </w:rPr>
              <w:t>Total</w:t>
            </w:r>
          </w:p>
        </w:tc>
        <w:tc>
          <w:tcPr>
            <w:tcW w:w="1399" w:type="dxa"/>
            <w:tcBorders>
              <w:left w:val="single" w:sz="4" w:space="0" w:color="auto"/>
              <w:bottom w:val="single" w:sz="4" w:space="0" w:color="auto"/>
              <w:right w:val="single" w:sz="4" w:space="0" w:color="auto"/>
            </w:tcBorders>
            <w:vAlign w:val="bottom"/>
          </w:tcPr>
          <w:p w:rsidR="0076651B" w:rsidRPr="0076651B" w:rsidRDefault="0076651B" w:rsidP="0076651B">
            <w:pPr>
              <w:overflowPunct/>
              <w:autoSpaceDE/>
              <w:autoSpaceDN/>
              <w:adjustRightInd/>
              <w:jc w:val="right"/>
              <w:textAlignment w:val="auto"/>
              <w:rPr>
                <w:rFonts w:cs="Arial"/>
                <w:bCs/>
                <w:sz w:val="22"/>
                <w:szCs w:val="24"/>
                <w:lang w:val="en-GB" w:eastAsia="en-GB"/>
              </w:rPr>
            </w:pPr>
            <w:r w:rsidRPr="0076651B">
              <w:rPr>
                <w:rFonts w:cs="Arial"/>
                <w:sz w:val="22"/>
                <w:szCs w:val="24"/>
                <w:lang w:val="en-GB" w:eastAsia="en-GB"/>
              </w:rPr>
              <w:t>£682,695</w:t>
            </w:r>
          </w:p>
        </w:tc>
        <w:tc>
          <w:tcPr>
            <w:tcW w:w="1843" w:type="dxa"/>
            <w:tcBorders>
              <w:left w:val="single" w:sz="4" w:space="0" w:color="auto"/>
              <w:bottom w:val="single" w:sz="4" w:space="0" w:color="auto"/>
            </w:tcBorders>
            <w:shd w:val="clear" w:color="auto" w:fill="auto"/>
            <w:noWrap/>
            <w:vAlign w:val="bottom"/>
          </w:tcPr>
          <w:p w:rsidR="0076651B" w:rsidRPr="0076651B" w:rsidRDefault="0076651B" w:rsidP="0076651B">
            <w:pPr>
              <w:overflowPunct/>
              <w:autoSpaceDE/>
              <w:autoSpaceDN/>
              <w:adjustRightInd/>
              <w:jc w:val="right"/>
              <w:textAlignment w:val="auto"/>
              <w:rPr>
                <w:rFonts w:cs="Arial"/>
                <w:bCs/>
                <w:sz w:val="22"/>
                <w:szCs w:val="24"/>
                <w:lang w:val="en-GB" w:eastAsia="en-GB"/>
              </w:rPr>
            </w:pPr>
            <w:r w:rsidRPr="0076651B">
              <w:rPr>
                <w:rFonts w:cs="Arial"/>
                <w:bCs/>
                <w:sz w:val="22"/>
                <w:szCs w:val="24"/>
                <w:lang w:val="en-GB" w:eastAsia="en-GB"/>
              </w:rPr>
              <w:t>£649,420</w:t>
            </w:r>
          </w:p>
        </w:tc>
        <w:tc>
          <w:tcPr>
            <w:tcW w:w="1559" w:type="dxa"/>
            <w:tcBorders>
              <w:bottom w:val="single" w:sz="4" w:space="0" w:color="auto"/>
            </w:tcBorders>
            <w:shd w:val="clear" w:color="auto" w:fill="auto"/>
            <w:noWrap/>
            <w:vAlign w:val="bottom"/>
          </w:tcPr>
          <w:p w:rsidR="0076651B" w:rsidRPr="0076651B" w:rsidRDefault="0076651B" w:rsidP="0076651B">
            <w:pPr>
              <w:overflowPunct/>
              <w:autoSpaceDE/>
              <w:autoSpaceDN/>
              <w:adjustRightInd/>
              <w:jc w:val="right"/>
              <w:textAlignment w:val="auto"/>
              <w:rPr>
                <w:rFonts w:cs="Arial"/>
                <w:bCs/>
                <w:sz w:val="22"/>
                <w:szCs w:val="24"/>
                <w:lang w:val="en-GB" w:eastAsia="en-GB"/>
              </w:rPr>
            </w:pPr>
            <w:r w:rsidRPr="0076651B">
              <w:rPr>
                <w:rFonts w:cs="Arial"/>
                <w:bCs/>
                <w:sz w:val="22"/>
                <w:szCs w:val="24"/>
                <w:lang w:val="en-GB" w:eastAsia="en-GB"/>
              </w:rPr>
              <w:t>£639,080</w:t>
            </w:r>
          </w:p>
        </w:tc>
        <w:tc>
          <w:tcPr>
            <w:tcW w:w="1418" w:type="dxa"/>
            <w:tcBorders>
              <w:bottom w:val="single" w:sz="4" w:space="0" w:color="auto"/>
            </w:tcBorders>
            <w:shd w:val="clear" w:color="auto" w:fill="auto"/>
            <w:noWrap/>
            <w:vAlign w:val="bottom"/>
          </w:tcPr>
          <w:p w:rsidR="0076651B" w:rsidRPr="0076651B" w:rsidRDefault="0076651B" w:rsidP="0076651B">
            <w:pPr>
              <w:overflowPunct/>
              <w:autoSpaceDE/>
              <w:autoSpaceDN/>
              <w:adjustRightInd/>
              <w:jc w:val="right"/>
              <w:textAlignment w:val="auto"/>
              <w:rPr>
                <w:rFonts w:cs="Arial"/>
                <w:bCs/>
                <w:sz w:val="22"/>
                <w:szCs w:val="24"/>
                <w:lang w:val="en-GB" w:eastAsia="en-GB"/>
              </w:rPr>
            </w:pPr>
            <w:r w:rsidRPr="0076651B">
              <w:rPr>
                <w:rFonts w:cs="Arial"/>
                <w:bCs/>
                <w:sz w:val="22"/>
                <w:szCs w:val="24"/>
                <w:lang w:val="en-GB" w:eastAsia="en-GB"/>
              </w:rPr>
              <w:t>£628,990</w:t>
            </w:r>
          </w:p>
        </w:tc>
      </w:tr>
    </w:tbl>
    <w:p w:rsidR="0076651B" w:rsidRDefault="0076651B" w:rsidP="00606D44">
      <w:pPr>
        <w:rPr>
          <w:rFonts w:cs="Arial"/>
          <w:sz w:val="22"/>
          <w:szCs w:val="22"/>
        </w:rPr>
      </w:pPr>
    </w:p>
    <w:p w:rsidR="00823F6A" w:rsidRDefault="00823F6A">
      <w:pPr>
        <w:overflowPunct/>
        <w:autoSpaceDE/>
        <w:autoSpaceDN/>
        <w:adjustRightInd/>
        <w:textAlignment w:val="auto"/>
        <w:rPr>
          <w:rFonts w:cs="Arial"/>
          <w:sz w:val="22"/>
          <w:szCs w:val="22"/>
        </w:rPr>
      </w:pPr>
      <w:r>
        <w:rPr>
          <w:rFonts w:cs="Arial"/>
          <w:sz w:val="22"/>
          <w:szCs w:val="22"/>
        </w:rPr>
        <w:br w:type="page"/>
      </w:r>
    </w:p>
    <w:p w:rsidR="00061782" w:rsidRPr="00D15F76" w:rsidRDefault="00061782" w:rsidP="00061782">
      <w:pPr>
        <w:rPr>
          <w:b/>
          <w:sz w:val="22"/>
          <w:szCs w:val="22"/>
          <w:u w:val="single"/>
        </w:rPr>
      </w:pPr>
      <w:r w:rsidRPr="00D15F76">
        <w:rPr>
          <w:b/>
          <w:sz w:val="22"/>
          <w:szCs w:val="22"/>
          <w:u w:val="single"/>
        </w:rPr>
        <w:lastRenderedPageBreak/>
        <w:t>Healthy Living for BME Women in Doncaster</w:t>
      </w:r>
    </w:p>
    <w:p w:rsidR="00587E31" w:rsidRPr="00D15F76" w:rsidRDefault="00587E31" w:rsidP="00061782">
      <w:pPr>
        <w:rPr>
          <w:sz w:val="22"/>
          <w:szCs w:val="22"/>
        </w:rPr>
      </w:pPr>
    </w:p>
    <w:p w:rsidR="00587E31" w:rsidRPr="00D15F76" w:rsidRDefault="00587E31" w:rsidP="00587E31">
      <w:pPr>
        <w:rPr>
          <w:rFonts w:cs="Arial"/>
          <w:i/>
          <w:sz w:val="22"/>
          <w:szCs w:val="22"/>
        </w:rPr>
      </w:pPr>
      <w:r w:rsidRPr="00D15F76">
        <w:rPr>
          <w:rFonts w:cs="Arial"/>
          <w:i/>
          <w:sz w:val="22"/>
          <w:szCs w:val="22"/>
        </w:rPr>
        <w:t>The Description of Service Area</w:t>
      </w:r>
    </w:p>
    <w:p w:rsidR="00587E31" w:rsidRPr="00D15F76" w:rsidRDefault="00587E31" w:rsidP="00587E31">
      <w:pPr>
        <w:rPr>
          <w:rFonts w:cs="Arial"/>
          <w:sz w:val="22"/>
          <w:szCs w:val="22"/>
        </w:rPr>
      </w:pPr>
    </w:p>
    <w:p w:rsidR="00587E31" w:rsidRPr="00D15F76" w:rsidRDefault="00587E31" w:rsidP="00823F6A">
      <w:pPr>
        <w:spacing w:after="200" w:line="276" w:lineRule="auto"/>
        <w:jc w:val="both"/>
        <w:rPr>
          <w:rFonts w:cs="Arial"/>
          <w:sz w:val="22"/>
          <w:szCs w:val="22"/>
          <w:lang w:eastAsia="en-GB"/>
        </w:rPr>
      </w:pPr>
      <w:r w:rsidRPr="00D15F76">
        <w:rPr>
          <w:rFonts w:cs="Arial"/>
          <w:sz w:val="22"/>
          <w:szCs w:val="22"/>
        </w:rPr>
        <w:t xml:space="preserve">BME Women experience poor health inequalities and often excluded from services that seem alien and intimidating due to unfamiliarity; cultural and religious reasons; language barriers; and little knowledge of the service provision available.  </w:t>
      </w:r>
    </w:p>
    <w:p w:rsidR="00587E31" w:rsidRPr="00D15F76" w:rsidRDefault="00587E31" w:rsidP="00823F6A">
      <w:pPr>
        <w:spacing w:after="200" w:line="276" w:lineRule="auto"/>
        <w:jc w:val="both"/>
        <w:rPr>
          <w:rFonts w:cs="Arial"/>
          <w:sz w:val="22"/>
          <w:szCs w:val="22"/>
          <w:lang w:eastAsia="en-GB"/>
        </w:rPr>
      </w:pPr>
      <w:r w:rsidRPr="00D15F76">
        <w:rPr>
          <w:rFonts w:cs="Arial"/>
          <w:sz w:val="22"/>
          <w:szCs w:val="22"/>
          <w:lang w:eastAsia="en-GB"/>
        </w:rPr>
        <w:t>The service will provide BME women across Doncaster with support around their health but is expected to concentrate this support in the most deprived areas where BME women are more vulnerable to poorer health outcomes.  The service will work in, with, and for women in these communities to improve:</w:t>
      </w:r>
    </w:p>
    <w:p w:rsidR="00587E31" w:rsidRPr="00D15F76" w:rsidRDefault="00587E31" w:rsidP="00823F6A">
      <w:pPr>
        <w:pStyle w:val="ListParagraph"/>
        <w:numPr>
          <w:ilvl w:val="0"/>
          <w:numId w:val="26"/>
        </w:numPr>
        <w:jc w:val="both"/>
        <w:rPr>
          <w:rFonts w:ascii="Arial" w:hAnsi="Arial" w:cs="Arial"/>
          <w:lang w:eastAsia="en-GB"/>
        </w:rPr>
      </w:pPr>
      <w:r w:rsidRPr="00D15F76">
        <w:rPr>
          <w:rFonts w:ascii="Arial" w:hAnsi="Arial" w:cs="Arial"/>
          <w:lang w:eastAsia="en-GB"/>
        </w:rPr>
        <w:t xml:space="preserve">general health outcomes </w:t>
      </w:r>
    </w:p>
    <w:p w:rsidR="00587E31" w:rsidRPr="00D15F76" w:rsidRDefault="00587E31" w:rsidP="00823F6A">
      <w:pPr>
        <w:pStyle w:val="ListParagraph"/>
        <w:numPr>
          <w:ilvl w:val="0"/>
          <w:numId w:val="26"/>
        </w:numPr>
        <w:jc w:val="both"/>
        <w:rPr>
          <w:rFonts w:ascii="Arial" w:hAnsi="Arial" w:cs="Arial"/>
          <w:lang w:eastAsia="en-GB"/>
        </w:rPr>
      </w:pPr>
      <w:r w:rsidRPr="00D15F76">
        <w:rPr>
          <w:rFonts w:ascii="Arial" w:hAnsi="Arial" w:cs="Arial"/>
          <w:lang w:eastAsia="en-GB"/>
        </w:rPr>
        <w:t xml:space="preserve">access to services </w:t>
      </w:r>
    </w:p>
    <w:p w:rsidR="00587E31" w:rsidRPr="00D15F76" w:rsidRDefault="00587E31" w:rsidP="00823F6A">
      <w:pPr>
        <w:pStyle w:val="ListParagraph"/>
        <w:numPr>
          <w:ilvl w:val="0"/>
          <w:numId w:val="26"/>
        </w:numPr>
        <w:jc w:val="both"/>
        <w:rPr>
          <w:rFonts w:ascii="Arial" w:hAnsi="Arial" w:cs="Arial"/>
          <w:lang w:eastAsia="en-GB"/>
        </w:rPr>
      </w:pPr>
      <w:proofErr w:type="gramStart"/>
      <w:r w:rsidRPr="00D15F76">
        <w:rPr>
          <w:rFonts w:ascii="Arial" w:hAnsi="Arial" w:cs="Arial"/>
          <w:lang w:eastAsia="en-GB"/>
        </w:rPr>
        <w:t>support</w:t>
      </w:r>
      <w:proofErr w:type="gramEnd"/>
      <w:r w:rsidRPr="00D15F76">
        <w:rPr>
          <w:rFonts w:ascii="Arial" w:hAnsi="Arial" w:cs="Arial"/>
          <w:lang w:eastAsia="en-GB"/>
        </w:rPr>
        <w:t xml:space="preserve"> for wider social and well-being needs</w:t>
      </w:r>
      <w:r w:rsidR="004E36A3">
        <w:rPr>
          <w:rFonts w:ascii="Arial" w:hAnsi="Arial" w:cs="Arial"/>
          <w:lang w:eastAsia="en-GB"/>
        </w:rPr>
        <w:t>.</w:t>
      </w:r>
    </w:p>
    <w:p w:rsidR="00587E31" w:rsidRPr="00D15F76" w:rsidRDefault="00587E31" w:rsidP="00823F6A">
      <w:pPr>
        <w:spacing w:after="200" w:line="276" w:lineRule="auto"/>
        <w:jc w:val="both"/>
        <w:rPr>
          <w:rFonts w:cs="Arial"/>
          <w:sz w:val="22"/>
          <w:szCs w:val="22"/>
          <w:lang w:eastAsia="en-GB"/>
        </w:rPr>
      </w:pPr>
      <w:r w:rsidRPr="00D15F76">
        <w:rPr>
          <w:rFonts w:cs="Arial"/>
          <w:sz w:val="22"/>
          <w:szCs w:val="22"/>
          <w:lang w:eastAsia="en-GB"/>
        </w:rPr>
        <w:t xml:space="preserve">A community </w:t>
      </w:r>
      <w:proofErr w:type="spellStart"/>
      <w:r w:rsidRPr="00D15F76">
        <w:rPr>
          <w:rFonts w:cs="Arial"/>
          <w:sz w:val="22"/>
          <w:szCs w:val="22"/>
          <w:lang w:eastAsia="en-GB"/>
        </w:rPr>
        <w:t>centred</w:t>
      </w:r>
      <w:proofErr w:type="spellEnd"/>
      <w:r w:rsidRPr="00D15F76">
        <w:rPr>
          <w:rFonts w:cs="Arial"/>
          <w:sz w:val="22"/>
          <w:szCs w:val="22"/>
          <w:lang w:eastAsia="en-GB"/>
        </w:rPr>
        <w:t xml:space="preserve"> approach such as this again links to NICE Guidance PH9; Community Engagement where it is suggested that although community engagement approaches are used to inform (or consult with) communities they may have a marginal impact on their health, it does acknowledge that these activities may have an impact on the appropriateness, accessibility and uptake of services. They may also have an impact on people's health literacy (their ability to understand and use information to improve and maintain their health (NICE guidelines (PH9) 2008).</w:t>
      </w:r>
    </w:p>
    <w:p w:rsidR="00587E31" w:rsidRPr="00D15F76" w:rsidRDefault="00587E31" w:rsidP="00823F6A">
      <w:pPr>
        <w:spacing w:after="200" w:line="276" w:lineRule="auto"/>
        <w:jc w:val="both"/>
        <w:rPr>
          <w:rFonts w:cs="Arial"/>
          <w:sz w:val="22"/>
          <w:szCs w:val="22"/>
        </w:rPr>
      </w:pPr>
      <w:r w:rsidRPr="00D15F76">
        <w:rPr>
          <w:rFonts w:cs="Arial"/>
          <w:sz w:val="22"/>
          <w:szCs w:val="22"/>
        </w:rPr>
        <w:t xml:space="preserve">The guidance also advocates that a robust system of evaluation be built into the cycle of delivery.  Therefore a detailed data collection system with clear milestones will be required to record the progress of each client clearly. It is expected that evaluation will be a constant process which listens to and considers feedback from the client group as well as other partner </w:t>
      </w:r>
      <w:proofErr w:type="spellStart"/>
      <w:r w:rsidRPr="00D15F76">
        <w:rPr>
          <w:rFonts w:cs="Arial"/>
          <w:sz w:val="22"/>
          <w:szCs w:val="22"/>
        </w:rPr>
        <w:t>organisations</w:t>
      </w:r>
      <w:proofErr w:type="spellEnd"/>
      <w:r w:rsidRPr="00D15F76">
        <w:rPr>
          <w:rFonts w:cs="Arial"/>
          <w:sz w:val="22"/>
          <w:szCs w:val="22"/>
        </w:rPr>
        <w:t>.  This will ensure the Healthy Living service evolves continuously to meet the changing population and needs of BME women.</w:t>
      </w:r>
    </w:p>
    <w:p w:rsidR="00587E31" w:rsidRPr="00D15F76" w:rsidRDefault="00587E31" w:rsidP="00823F6A">
      <w:pPr>
        <w:spacing w:after="200" w:line="276" w:lineRule="auto"/>
        <w:jc w:val="both"/>
        <w:rPr>
          <w:rFonts w:eastAsia="Calibri" w:cs="Arial"/>
          <w:i/>
          <w:sz w:val="22"/>
          <w:szCs w:val="22"/>
        </w:rPr>
      </w:pPr>
      <w:r w:rsidRPr="00D15F76">
        <w:rPr>
          <w:rFonts w:eastAsia="Calibri" w:cs="Arial"/>
          <w:i/>
          <w:sz w:val="22"/>
          <w:szCs w:val="22"/>
        </w:rPr>
        <w:t>Outcomes</w:t>
      </w:r>
    </w:p>
    <w:p w:rsidR="00587E31" w:rsidRPr="00D15F76" w:rsidRDefault="00587E31" w:rsidP="00823F6A">
      <w:pPr>
        <w:spacing w:after="200" w:line="276" w:lineRule="auto"/>
        <w:jc w:val="both"/>
        <w:rPr>
          <w:rFonts w:eastAsia="Calibri" w:cs="Arial"/>
          <w:sz w:val="22"/>
          <w:szCs w:val="22"/>
        </w:rPr>
      </w:pPr>
    </w:p>
    <w:p w:rsidR="00587E31" w:rsidRPr="00D15F76" w:rsidRDefault="00587E31" w:rsidP="00823F6A">
      <w:pPr>
        <w:pStyle w:val="ListParagraph"/>
        <w:numPr>
          <w:ilvl w:val="0"/>
          <w:numId w:val="25"/>
        </w:numPr>
        <w:jc w:val="both"/>
        <w:rPr>
          <w:rFonts w:ascii="Arial" w:hAnsi="Arial" w:cs="Arial"/>
        </w:rPr>
      </w:pPr>
      <w:r w:rsidRPr="00D15F76">
        <w:rPr>
          <w:rFonts w:ascii="Arial" w:hAnsi="Arial" w:cs="Arial"/>
        </w:rPr>
        <w:t xml:space="preserve">Improve the health and reduce inequalities </w:t>
      </w:r>
      <w:r w:rsidR="00D56989">
        <w:rPr>
          <w:rFonts w:ascii="Arial" w:hAnsi="Arial" w:cs="Arial"/>
        </w:rPr>
        <w:t>among</w:t>
      </w:r>
      <w:r w:rsidRPr="00D15F76">
        <w:rPr>
          <w:rFonts w:ascii="Arial" w:hAnsi="Arial" w:cs="Arial"/>
        </w:rPr>
        <w:t xml:space="preserve"> BME women across Doncaster</w:t>
      </w:r>
    </w:p>
    <w:p w:rsidR="00587E31" w:rsidRPr="00D15F76" w:rsidRDefault="00587E31" w:rsidP="00823F6A">
      <w:pPr>
        <w:pStyle w:val="ListParagraph"/>
        <w:numPr>
          <w:ilvl w:val="0"/>
          <w:numId w:val="25"/>
        </w:numPr>
        <w:jc w:val="both"/>
        <w:rPr>
          <w:rFonts w:ascii="Arial" w:hAnsi="Arial" w:cs="Arial"/>
        </w:rPr>
      </w:pPr>
      <w:r w:rsidRPr="00D15F76">
        <w:rPr>
          <w:rFonts w:ascii="Arial" w:hAnsi="Arial" w:cs="Arial"/>
        </w:rPr>
        <w:t>Improve the health literacy of BME women.</w:t>
      </w:r>
    </w:p>
    <w:p w:rsidR="00587E31" w:rsidRPr="00D15F76" w:rsidRDefault="00587E31" w:rsidP="00823F6A">
      <w:pPr>
        <w:pStyle w:val="ListParagraph"/>
        <w:numPr>
          <w:ilvl w:val="0"/>
          <w:numId w:val="25"/>
        </w:numPr>
        <w:jc w:val="both"/>
        <w:rPr>
          <w:rFonts w:ascii="Arial" w:hAnsi="Arial" w:cs="Arial"/>
        </w:rPr>
      </w:pPr>
      <w:r w:rsidRPr="00D15F76">
        <w:rPr>
          <w:rFonts w:ascii="Arial" w:hAnsi="Arial" w:cs="Arial"/>
        </w:rPr>
        <w:t>Improve knowledge of Public Health messages</w:t>
      </w:r>
    </w:p>
    <w:p w:rsidR="00587E31" w:rsidRPr="00D15F76" w:rsidRDefault="00587E31" w:rsidP="00823F6A">
      <w:pPr>
        <w:pStyle w:val="ListParagraph"/>
        <w:numPr>
          <w:ilvl w:val="0"/>
          <w:numId w:val="25"/>
        </w:numPr>
        <w:jc w:val="both"/>
        <w:rPr>
          <w:rFonts w:ascii="Arial" w:hAnsi="Arial" w:cs="Arial"/>
        </w:rPr>
      </w:pPr>
      <w:r w:rsidRPr="00D15F76">
        <w:rPr>
          <w:rFonts w:ascii="Arial" w:hAnsi="Arial" w:cs="Arial"/>
        </w:rPr>
        <w:t>Improve social inclusion of BME women</w:t>
      </w:r>
    </w:p>
    <w:p w:rsidR="00587E31" w:rsidRPr="00D15F76" w:rsidRDefault="00587E31" w:rsidP="00823F6A">
      <w:pPr>
        <w:pStyle w:val="ListParagraph"/>
        <w:numPr>
          <w:ilvl w:val="0"/>
          <w:numId w:val="25"/>
        </w:numPr>
        <w:jc w:val="both"/>
        <w:rPr>
          <w:rFonts w:ascii="Arial" w:hAnsi="Arial" w:cs="Arial"/>
        </w:rPr>
      </w:pPr>
      <w:r w:rsidRPr="00D15F76">
        <w:rPr>
          <w:rFonts w:ascii="Arial" w:hAnsi="Arial" w:cs="Arial"/>
        </w:rPr>
        <w:t>Increase number of opportunities across Doncaster for BME women to actively participate in self-help activities</w:t>
      </w:r>
      <w:r w:rsidR="00D56989">
        <w:rPr>
          <w:rFonts w:ascii="Arial" w:hAnsi="Arial" w:cs="Arial"/>
        </w:rPr>
        <w:t>.</w:t>
      </w:r>
    </w:p>
    <w:p w:rsidR="00587E31" w:rsidRPr="00D15F76" w:rsidRDefault="00587E31" w:rsidP="00587E31">
      <w:pPr>
        <w:rPr>
          <w:rFonts w:eastAsia="Calibri" w:cs="Arial"/>
          <w:sz w:val="22"/>
          <w:szCs w:val="22"/>
        </w:rPr>
      </w:pPr>
    </w:p>
    <w:p w:rsidR="00587E31" w:rsidRPr="00D15F76" w:rsidRDefault="00587E31" w:rsidP="00587E31">
      <w:pPr>
        <w:rPr>
          <w:rFonts w:cs="Arial"/>
          <w:i/>
          <w:sz w:val="22"/>
          <w:szCs w:val="22"/>
        </w:rPr>
      </w:pPr>
      <w:r w:rsidRPr="00D15F76">
        <w:rPr>
          <w:rFonts w:cs="Arial"/>
          <w:i/>
          <w:sz w:val="22"/>
          <w:szCs w:val="22"/>
        </w:rPr>
        <w:t>The Proposed Actions</w:t>
      </w:r>
    </w:p>
    <w:p w:rsidR="00587E31" w:rsidRPr="00D15F76" w:rsidRDefault="00587E31" w:rsidP="00587E31">
      <w:pPr>
        <w:spacing w:after="200" w:line="276" w:lineRule="auto"/>
        <w:rPr>
          <w:rFonts w:eastAsia="Calibri" w:cs="Arial"/>
          <w:b/>
          <w:sz w:val="22"/>
          <w:szCs w:val="22"/>
        </w:rPr>
      </w:pPr>
    </w:p>
    <w:p w:rsidR="00587E31" w:rsidRPr="00D15F76" w:rsidRDefault="00587E31" w:rsidP="00587E31">
      <w:pPr>
        <w:jc w:val="both"/>
        <w:rPr>
          <w:rFonts w:eastAsia="MS ??" w:cs="Arial"/>
          <w:b/>
          <w:color w:val="000000"/>
          <w:sz w:val="22"/>
          <w:szCs w:val="22"/>
        </w:rPr>
      </w:pPr>
      <w:r w:rsidRPr="00D15F76">
        <w:rPr>
          <w:rFonts w:eastAsia="MS ??" w:cs="Arial"/>
          <w:b/>
          <w:color w:val="000000"/>
          <w:sz w:val="22"/>
          <w:szCs w:val="22"/>
        </w:rPr>
        <w:t>Performance Standards</w:t>
      </w:r>
    </w:p>
    <w:p w:rsidR="00587E31" w:rsidRPr="00D15F76" w:rsidRDefault="00587E31" w:rsidP="00823F6A">
      <w:pPr>
        <w:spacing w:after="200" w:line="276" w:lineRule="auto"/>
        <w:rPr>
          <w:rFonts w:eastAsia="MS ??" w:cs="Arial"/>
          <w:b/>
          <w:color w:val="000000"/>
          <w:sz w:val="22"/>
          <w:szCs w:val="22"/>
        </w:rPr>
      </w:pPr>
    </w:p>
    <w:p w:rsidR="00587E31" w:rsidRPr="00D15F76" w:rsidRDefault="00587E31" w:rsidP="00823F6A">
      <w:pPr>
        <w:pStyle w:val="ListParagraph"/>
        <w:numPr>
          <w:ilvl w:val="0"/>
          <w:numId w:val="27"/>
        </w:numPr>
        <w:rPr>
          <w:rFonts w:ascii="Arial" w:hAnsi="Arial" w:cs="Arial"/>
        </w:rPr>
      </w:pPr>
      <w:r w:rsidRPr="00D15F76">
        <w:rPr>
          <w:rFonts w:ascii="Arial" w:hAnsi="Arial" w:cs="Arial"/>
        </w:rPr>
        <w:lastRenderedPageBreak/>
        <w:t>The provider will attend quarterly contract review meetings at dates and times agreed with the commissioner on award of the contract.</w:t>
      </w:r>
    </w:p>
    <w:p w:rsidR="00587E31" w:rsidRPr="00D15F76" w:rsidRDefault="00587E31" w:rsidP="00823F6A">
      <w:pPr>
        <w:pStyle w:val="ListParagraph"/>
        <w:numPr>
          <w:ilvl w:val="0"/>
          <w:numId w:val="27"/>
        </w:numPr>
        <w:rPr>
          <w:rFonts w:ascii="Arial" w:hAnsi="Arial" w:cs="Arial"/>
        </w:rPr>
      </w:pPr>
      <w:r w:rsidRPr="00D15F76">
        <w:rPr>
          <w:rFonts w:ascii="Arial" w:hAnsi="Arial" w:cs="Arial"/>
        </w:rPr>
        <w:t>The provider will submit copies of monitoring returns to DMBC on a quarterly basis prior to the contract review meetings.  Deadlines will be agreed with the commissioner on award of the contract. Further monitoring reports may also be required on an ad-hoc basis during the contract period.</w:t>
      </w:r>
    </w:p>
    <w:p w:rsidR="00587E31" w:rsidRPr="00AD0C2C" w:rsidRDefault="00587E31" w:rsidP="00823F6A">
      <w:pPr>
        <w:pStyle w:val="ListParagraph"/>
        <w:numPr>
          <w:ilvl w:val="0"/>
          <w:numId w:val="27"/>
        </w:numPr>
        <w:rPr>
          <w:rFonts w:ascii="Arial" w:hAnsi="Arial" w:cs="Arial"/>
        </w:rPr>
      </w:pPr>
      <w:r w:rsidRPr="00D15F76">
        <w:rPr>
          <w:rFonts w:ascii="Arial" w:hAnsi="Arial" w:cs="Arial"/>
        </w:rPr>
        <w:t>Additional indicators m</w:t>
      </w:r>
      <w:r w:rsidRPr="00AD0C2C">
        <w:rPr>
          <w:rFonts w:ascii="Arial" w:hAnsi="Arial" w:cs="Arial"/>
        </w:rPr>
        <w:t>ay need to be monitored dependant on the performance management requirements of DMBC.  The provider will be expected to amend its data collection as required.  Additional performance indicators will be developed with the providers to ensure the continuous improvement of services and also to reflect changes in national guidance and standards.</w:t>
      </w:r>
    </w:p>
    <w:p w:rsidR="00587E31" w:rsidRPr="00AD0C2C" w:rsidRDefault="00587E31" w:rsidP="00823F6A">
      <w:pPr>
        <w:pStyle w:val="ListParagraph"/>
        <w:numPr>
          <w:ilvl w:val="0"/>
          <w:numId w:val="27"/>
        </w:numPr>
        <w:rPr>
          <w:rFonts w:ascii="Arial" w:hAnsi="Arial" w:cs="Arial"/>
        </w:rPr>
      </w:pPr>
      <w:r w:rsidRPr="00AD0C2C">
        <w:rPr>
          <w:rFonts w:ascii="Arial" w:hAnsi="Arial" w:cs="Arial"/>
        </w:rPr>
        <w:t>In conjunction with the commissioner the provider will be expected to design and produce reports that clearly demonstrate the progress of the service.</w:t>
      </w:r>
    </w:p>
    <w:p w:rsidR="00587E31" w:rsidRPr="00AD0C2C" w:rsidRDefault="00587E31" w:rsidP="00823F6A">
      <w:pPr>
        <w:pStyle w:val="ListParagraph"/>
        <w:numPr>
          <w:ilvl w:val="0"/>
          <w:numId w:val="27"/>
        </w:numPr>
        <w:rPr>
          <w:rFonts w:ascii="Arial" w:hAnsi="Arial" w:cs="Arial"/>
        </w:rPr>
      </w:pPr>
      <w:r w:rsidRPr="00AD0C2C">
        <w:rPr>
          <w:rFonts w:ascii="Arial" w:hAnsi="Arial" w:cs="Arial"/>
        </w:rPr>
        <w:t>Providers will be required to demonstrate their co-ordination of and involvement in regular inter-professional and inter-agency meetings.  This will include health professionals, third sector and any other relevant organisation.</w:t>
      </w:r>
    </w:p>
    <w:p w:rsidR="00587E31" w:rsidRPr="00AD0C2C" w:rsidRDefault="00587E31" w:rsidP="00823F6A">
      <w:pPr>
        <w:pStyle w:val="ListParagraph"/>
        <w:numPr>
          <w:ilvl w:val="0"/>
          <w:numId w:val="27"/>
        </w:numPr>
        <w:rPr>
          <w:rFonts w:ascii="Arial" w:hAnsi="Arial" w:cs="Arial"/>
        </w:rPr>
      </w:pPr>
      <w:r w:rsidRPr="00AD0C2C">
        <w:rPr>
          <w:rFonts w:ascii="Arial" w:hAnsi="Arial" w:cs="Arial"/>
        </w:rPr>
        <w:t>Service user views on their experiences and satisfaction levels will need to be measured through an on-going, systematic process to test whether the service is engaging with service users in a way that supports them.  The aim of this process is to highlight any changes to service provision that are required to meet the needs of the service users.</w:t>
      </w:r>
    </w:p>
    <w:p w:rsidR="00587E31" w:rsidRPr="00AD0C2C" w:rsidRDefault="00587E31" w:rsidP="00823F6A">
      <w:pPr>
        <w:pStyle w:val="ListParagraph"/>
        <w:numPr>
          <w:ilvl w:val="0"/>
          <w:numId w:val="27"/>
        </w:numPr>
        <w:rPr>
          <w:rFonts w:ascii="Arial" w:hAnsi="Arial" w:cs="Arial"/>
        </w:rPr>
      </w:pPr>
      <w:r w:rsidRPr="00AD0C2C">
        <w:rPr>
          <w:rFonts w:ascii="Arial" w:hAnsi="Arial" w:cs="Arial"/>
        </w:rPr>
        <w:t>The provider may be required to present updates on the progress and delivery of the service to DMBC representatives such as the Overview and Scrutiny Committee.</w:t>
      </w:r>
    </w:p>
    <w:p w:rsidR="00587E31" w:rsidRPr="00AD0C2C" w:rsidRDefault="00587E31" w:rsidP="00823F6A">
      <w:pPr>
        <w:pStyle w:val="ListParagraph"/>
        <w:numPr>
          <w:ilvl w:val="0"/>
          <w:numId w:val="27"/>
        </w:numPr>
        <w:rPr>
          <w:rFonts w:ascii="Arial" w:hAnsi="Arial" w:cs="Arial"/>
        </w:rPr>
      </w:pPr>
      <w:r w:rsidRPr="00AD0C2C">
        <w:rPr>
          <w:rFonts w:ascii="Arial" w:hAnsi="Arial" w:cs="Arial"/>
        </w:rPr>
        <w:t>The provider must be aware of and be compliant with national and local safeguarding principles and policies.</w:t>
      </w:r>
    </w:p>
    <w:p w:rsidR="00587E31" w:rsidRDefault="00587E31" w:rsidP="00587E31">
      <w:pPr>
        <w:rPr>
          <w:rFonts w:cs="Arial"/>
          <w:i/>
        </w:rPr>
      </w:pPr>
    </w:p>
    <w:p w:rsidR="000613F5" w:rsidRDefault="000613F5" w:rsidP="00587E31">
      <w:pPr>
        <w:rPr>
          <w:rFonts w:cs="Arial"/>
          <w:i/>
        </w:rPr>
      </w:pPr>
    </w:p>
    <w:p w:rsidR="000613F5" w:rsidRDefault="000613F5" w:rsidP="00587E31">
      <w:pPr>
        <w:rPr>
          <w:rFonts w:cs="Arial"/>
          <w:i/>
        </w:rPr>
      </w:pPr>
    </w:p>
    <w:p w:rsidR="00587E31" w:rsidRPr="00AD0C2C" w:rsidRDefault="00587E31" w:rsidP="00587E31">
      <w:pPr>
        <w:rPr>
          <w:rFonts w:cs="Arial"/>
          <w:i/>
        </w:rPr>
      </w:pPr>
      <w:r w:rsidRPr="00AD0C2C">
        <w:rPr>
          <w:rFonts w:cs="Arial"/>
          <w:i/>
        </w:rPr>
        <w:t>The Financial Impacts</w:t>
      </w:r>
    </w:p>
    <w:p w:rsidR="00587E31" w:rsidRPr="00AD0C2C" w:rsidRDefault="00587E31" w:rsidP="00587E31">
      <w:pPr>
        <w:rPr>
          <w:rFonts w:cs="Arial"/>
          <w:i/>
        </w:rPr>
      </w:pPr>
    </w:p>
    <w:p w:rsidR="00587E31" w:rsidRPr="00D15F76" w:rsidRDefault="00587E31" w:rsidP="00587E31">
      <w:pPr>
        <w:spacing w:after="200" w:line="276" w:lineRule="auto"/>
        <w:rPr>
          <w:rFonts w:eastAsia="Calibri" w:cs="Arial"/>
          <w:b/>
          <w:sz w:val="22"/>
          <w:szCs w:val="22"/>
        </w:rPr>
      </w:pPr>
      <w:r w:rsidRPr="00D15F76">
        <w:rPr>
          <w:rFonts w:eastAsia="Calibri" w:cs="Arial"/>
          <w:b/>
          <w:sz w:val="22"/>
          <w:szCs w:val="22"/>
        </w:rPr>
        <w:t xml:space="preserve">Table </w:t>
      </w:r>
      <w:r w:rsidR="00961995">
        <w:rPr>
          <w:rFonts w:eastAsia="Calibri" w:cs="Arial"/>
          <w:b/>
          <w:sz w:val="22"/>
          <w:szCs w:val="22"/>
        </w:rPr>
        <w:t>11</w:t>
      </w:r>
      <w:r w:rsidRPr="00D15F76">
        <w:rPr>
          <w:rFonts w:eastAsia="Calibri" w:cs="Arial"/>
          <w:b/>
          <w:sz w:val="22"/>
          <w:szCs w:val="22"/>
        </w:rPr>
        <w:t xml:space="preserve">: </w:t>
      </w:r>
      <w:r w:rsidRPr="00D15F76">
        <w:rPr>
          <w:rFonts w:eastAsia="Calibri" w:cs="Arial"/>
          <w:sz w:val="22"/>
          <w:szCs w:val="22"/>
        </w:rPr>
        <w:t>Financial cost of Healthy Living for BME Women in Doncaster</w:t>
      </w:r>
    </w:p>
    <w:tbl>
      <w:tblPr>
        <w:tblW w:w="8013" w:type="dxa"/>
        <w:tblInd w:w="93" w:type="dxa"/>
        <w:tblLook w:val="04A0" w:firstRow="1" w:lastRow="0" w:firstColumn="1" w:lastColumn="0" w:noHBand="0" w:noVBand="1"/>
      </w:tblPr>
      <w:tblGrid>
        <w:gridCol w:w="3843"/>
        <w:gridCol w:w="1012"/>
        <w:gridCol w:w="1134"/>
        <w:gridCol w:w="1012"/>
        <w:gridCol w:w="1012"/>
      </w:tblGrid>
      <w:tr w:rsidR="0076651B" w:rsidRPr="00D15F76" w:rsidTr="0076651B">
        <w:trPr>
          <w:trHeight w:val="355"/>
        </w:trPr>
        <w:tc>
          <w:tcPr>
            <w:tcW w:w="3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76651B" w:rsidRPr="00D15F76" w:rsidRDefault="0076651B" w:rsidP="00DB432D">
            <w:pPr>
              <w:rPr>
                <w:rFonts w:cs="Arial"/>
                <w:b/>
                <w:bCs/>
                <w:color w:val="000000"/>
                <w:sz w:val="22"/>
                <w:szCs w:val="22"/>
                <w:lang w:eastAsia="en-GB"/>
              </w:rPr>
            </w:pPr>
            <w:r w:rsidRPr="00D15F76">
              <w:rPr>
                <w:rFonts w:cs="Arial"/>
                <w:b/>
                <w:bCs/>
                <w:color w:val="000000"/>
                <w:sz w:val="22"/>
                <w:szCs w:val="22"/>
                <w:lang w:eastAsia="en-GB"/>
              </w:rPr>
              <w:t>Public Health Services</w:t>
            </w:r>
          </w:p>
        </w:tc>
        <w:tc>
          <w:tcPr>
            <w:tcW w:w="1012" w:type="dxa"/>
            <w:tcBorders>
              <w:top w:val="single" w:sz="4" w:space="0" w:color="000000"/>
              <w:left w:val="single" w:sz="4" w:space="0" w:color="auto"/>
              <w:bottom w:val="single" w:sz="4" w:space="0" w:color="000000"/>
              <w:right w:val="single" w:sz="4" w:space="0" w:color="auto"/>
            </w:tcBorders>
            <w:vAlign w:val="bottom"/>
          </w:tcPr>
          <w:p w:rsidR="0076651B" w:rsidRPr="00D15F76" w:rsidRDefault="0076651B" w:rsidP="005B1625">
            <w:pPr>
              <w:jc w:val="right"/>
              <w:rPr>
                <w:rFonts w:cs="Arial"/>
                <w:b/>
                <w:bCs/>
                <w:color w:val="000000"/>
                <w:sz w:val="22"/>
                <w:szCs w:val="22"/>
                <w:lang w:eastAsia="en-GB"/>
              </w:rPr>
            </w:pPr>
            <w:r>
              <w:rPr>
                <w:rFonts w:cs="Arial"/>
                <w:b/>
                <w:bCs/>
                <w:color w:val="000000"/>
                <w:sz w:val="22"/>
                <w:szCs w:val="22"/>
                <w:lang w:eastAsia="en-GB"/>
              </w:rPr>
              <w:t>2017/18</w:t>
            </w:r>
          </w:p>
        </w:tc>
        <w:tc>
          <w:tcPr>
            <w:tcW w:w="1134" w:type="dxa"/>
            <w:tcBorders>
              <w:top w:val="single" w:sz="4" w:space="0" w:color="000000"/>
              <w:left w:val="single" w:sz="4" w:space="0" w:color="auto"/>
              <w:bottom w:val="single" w:sz="4" w:space="0" w:color="000000"/>
              <w:right w:val="nil"/>
            </w:tcBorders>
            <w:shd w:val="clear" w:color="auto" w:fill="auto"/>
            <w:noWrap/>
            <w:vAlign w:val="bottom"/>
            <w:hideMark/>
          </w:tcPr>
          <w:p w:rsidR="0076651B" w:rsidRPr="00D15F76" w:rsidRDefault="0076651B" w:rsidP="00DB432D">
            <w:pPr>
              <w:jc w:val="right"/>
              <w:rPr>
                <w:rFonts w:cs="Arial"/>
                <w:b/>
                <w:bCs/>
                <w:color w:val="000000"/>
                <w:sz w:val="22"/>
                <w:szCs w:val="22"/>
                <w:lang w:eastAsia="en-GB"/>
              </w:rPr>
            </w:pPr>
            <w:r w:rsidRPr="00D15F76">
              <w:rPr>
                <w:rFonts w:cs="Arial"/>
                <w:b/>
                <w:bCs/>
                <w:color w:val="000000"/>
                <w:sz w:val="22"/>
                <w:szCs w:val="22"/>
                <w:lang w:eastAsia="en-GB"/>
              </w:rPr>
              <w:t>2018/19</w:t>
            </w:r>
          </w:p>
        </w:tc>
        <w:tc>
          <w:tcPr>
            <w:tcW w:w="1012" w:type="dxa"/>
            <w:tcBorders>
              <w:top w:val="single" w:sz="4" w:space="0" w:color="000000"/>
              <w:left w:val="nil"/>
              <w:bottom w:val="single" w:sz="4" w:space="0" w:color="000000"/>
              <w:right w:val="nil"/>
            </w:tcBorders>
            <w:shd w:val="clear" w:color="auto" w:fill="auto"/>
            <w:noWrap/>
            <w:vAlign w:val="bottom"/>
            <w:hideMark/>
          </w:tcPr>
          <w:p w:rsidR="0076651B" w:rsidRPr="00D15F76" w:rsidRDefault="0076651B" w:rsidP="00DB432D">
            <w:pPr>
              <w:jc w:val="right"/>
              <w:rPr>
                <w:rFonts w:cs="Arial"/>
                <w:b/>
                <w:bCs/>
                <w:color w:val="000000"/>
                <w:sz w:val="22"/>
                <w:szCs w:val="22"/>
                <w:lang w:eastAsia="en-GB"/>
              </w:rPr>
            </w:pPr>
            <w:r w:rsidRPr="00D15F76">
              <w:rPr>
                <w:rFonts w:cs="Arial"/>
                <w:b/>
                <w:bCs/>
                <w:color w:val="000000"/>
                <w:sz w:val="22"/>
                <w:szCs w:val="22"/>
                <w:lang w:eastAsia="en-GB"/>
              </w:rPr>
              <w:t>2019/20</w:t>
            </w:r>
          </w:p>
        </w:tc>
        <w:tc>
          <w:tcPr>
            <w:tcW w:w="1012" w:type="dxa"/>
            <w:tcBorders>
              <w:top w:val="single" w:sz="4" w:space="0" w:color="000000"/>
              <w:left w:val="nil"/>
              <w:bottom w:val="single" w:sz="4" w:space="0" w:color="000000"/>
              <w:right w:val="single" w:sz="4" w:space="0" w:color="auto"/>
            </w:tcBorders>
            <w:shd w:val="clear" w:color="auto" w:fill="auto"/>
            <w:noWrap/>
            <w:vAlign w:val="bottom"/>
            <w:hideMark/>
          </w:tcPr>
          <w:p w:rsidR="0076651B" w:rsidRPr="00D15F76" w:rsidRDefault="0076651B" w:rsidP="00DB432D">
            <w:pPr>
              <w:jc w:val="right"/>
              <w:rPr>
                <w:rFonts w:cs="Arial"/>
                <w:b/>
                <w:bCs/>
                <w:color w:val="000000"/>
                <w:sz w:val="22"/>
                <w:szCs w:val="22"/>
                <w:lang w:eastAsia="en-GB"/>
              </w:rPr>
            </w:pPr>
            <w:r w:rsidRPr="00D15F76">
              <w:rPr>
                <w:rFonts w:cs="Arial"/>
                <w:b/>
                <w:bCs/>
                <w:color w:val="000000"/>
                <w:sz w:val="22"/>
                <w:szCs w:val="22"/>
                <w:lang w:eastAsia="en-GB"/>
              </w:rPr>
              <w:t>2020/21</w:t>
            </w:r>
          </w:p>
        </w:tc>
      </w:tr>
      <w:tr w:rsidR="0076651B" w:rsidRPr="00D15F76" w:rsidTr="0076651B">
        <w:trPr>
          <w:trHeight w:val="691"/>
        </w:trPr>
        <w:tc>
          <w:tcPr>
            <w:tcW w:w="3843" w:type="dxa"/>
            <w:tcBorders>
              <w:top w:val="single" w:sz="4" w:space="0" w:color="000000"/>
              <w:left w:val="single" w:sz="4" w:space="0" w:color="auto"/>
              <w:bottom w:val="single" w:sz="4" w:space="0" w:color="auto"/>
              <w:right w:val="single" w:sz="4" w:space="0" w:color="auto"/>
            </w:tcBorders>
            <w:shd w:val="clear" w:color="auto" w:fill="auto"/>
            <w:vAlign w:val="bottom"/>
            <w:hideMark/>
          </w:tcPr>
          <w:p w:rsidR="0076651B" w:rsidRPr="00D15F76" w:rsidRDefault="0076651B" w:rsidP="00DB432D">
            <w:pPr>
              <w:rPr>
                <w:rFonts w:cs="Arial"/>
                <w:color w:val="000000"/>
                <w:sz w:val="22"/>
                <w:szCs w:val="22"/>
                <w:lang w:eastAsia="en-GB"/>
              </w:rPr>
            </w:pPr>
            <w:r w:rsidRPr="00D15F76">
              <w:rPr>
                <w:rFonts w:cs="Arial"/>
                <w:color w:val="000000"/>
                <w:sz w:val="22"/>
                <w:szCs w:val="22"/>
                <w:lang w:eastAsia="en-GB"/>
              </w:rPr>
              <w:t>Healthy Living for BME Women in Doncaster</w:t>
            </w:r>
          </w:p>
        </w:tc>
        <w:tc>
          <w:tcPr>
            <w:tcW w:w="1012" w:type="dxa"/>
            <w:tcBorders>
              <w:top w:val="single" w:sz="4" w:space="0" w:color="000000"/>
              <w:left w:val="single" w:sz="4" w:space="0" w:color="auto"/>
              <w:bottom w:val="single" w:sz="4" w:space="0" w:color="auto"/>
              <w:right w:val="single" w:sz="4" w:space="0" w:color="auto"/>
            </w:tcBorders>
            <w:vAlign w:val="bottom"/>
          </w:tcPr>
          <w:p w:rsidR="0076651B" w:rsidRPr="00D15F76" w:rsidRDefault="0076651B" w:rsidP="005B1625">
            <w:pPr>
              <w:jc w:val="right"/>
              <w:rPr>
                <w:rFonts w:cs="Arial"/>
                <w:color w:val="000000"/>
                <w:sz w:val="22"/>
                <w:szCs w:val="22"/>
                <w:lang w:eastAsia="en-GB"/>
              </w:rPr>
            </w:pPr>
            <w:r w:rsidRPr="001121EB">
              <w:rPr>
                <w:sz w:val="22"/>
                <w:szCs w:val="22"/>
                <w:lang w:eastAsia="en-GB"/>
              </w:rPr>
              <w:t>50,7</w:t>
            </w:r>
            <w:r>
              <w:rPr>
                <w:sz w:val="22"/>
                <w:szCs w:val="22"/>
                <w:lang w:eastAsia="en-GB"/>
              </w:rPr>
              <w:t>90</w:t>
            </w:r>
          </w:p>
        </w:tc>
        <w:tc>
          <w:tcPr>
            <w:tcW w:w="1134" w:type="dxa"/>
            <w:tcBorders>
              <w:top w:val="nil"/>
              <w:left w:val="single" w:sz="4" w:space="0" w:color="auto"/>
              <w:bottom w:val="single" w:sz="4" w:space="0" w:color="auto"/>
              <w:right w:val="nil"/>
            </w:tcBorders>
            <w:shd w:val="clear" w:color="auto" w:fill="auto"/>
            <w:noWrap/>
            <w:vAlign w:val="bottom"/>
            <w:hideMark/>
          </w:tcPr>
          <w:p w:rsidR="0076651B" w:rsidRPr="00D15F76" w:rsidRDefault="0076651B" w:rsidP="00DB432D">
            <w:pPr>
              <w:jc w:val="right"/>
              <w:rPr>
                <w:rFonts w:cs="Arial"/>
                <w:color w:val="000000"/>
                <w:sz w:val="22"/>
                <w:szCs w:val="22"/>
                <w:lang w:eastAsia="en-GB"/>
              </w:rPr>
            </w:pPr>
            <w:r w:rsidRPr="00D15F76">
              <w:rPr>
                <w:rFonts w:cs="Arial"/>
                <w:color w:val="000000"/>
                <w:sz w:val="22"/>
                <w:szCs w:val="22"/>
                <w:lang w:eastAsia="en-GB"/>
              </w:rPr>
              <w:t>50790</w:t>
            </w:r>
          </w:p>
        </w:tc>
        <w:tc>
          <w:tcPr>
            <w:tcW w:w="1012" w:type="dxa"/>
            <w:tcBorders>
              <w:top w:val="nil"/>
              <w:left w:val="nil"/>
              <w:bottom w:val="single" w:sz="4" w:space="0" w:color="auto"/>
              <w:right w:val="nil"/>
            </w:tcBorders>
            <w:shd w:val="clear" w:color="auto" w:fill="auto"/>
            <w:noWrap/>
            <w:vAlign w:val="bottom"/>
            <w:hideMark/>
          </w:tcPr>
          <w:p w:rsidR="0076651B" w:rsidRPr="00D15F76" w:rsidRDefault="0076651B" w:rsidP="00DB432D">
            <w:pPr>
              <w:jc w:val="right"/>
              <w:rPr>
                <w:rFonts w:cs="Arial"/>
                <w:color w:val="000000"/>
                <w:sz w:val="22"/>
                <w:szCs w:val="22"/>
                <w:lang w:eastAsia="en-GB"/>
              </w:rPr>
            </w:pPr>
            <w:r w:rsidRPr="00D15F76">
              <w:rPr>
                <w:rFonts w:cs="Arial"/>
                <w:color w:val="000000"/>
                <w:sz w:val="22"/>
                <w:szCs w:val="22"/>
                <w:lang w:eastAsia="en-GB"/>
              </w:rPr>
              <w:t>50790</w:t>
            </w:r>
          </w:p>
        </w:tc>
        <w:tc>
          <w:tcPr>
            <w:tcW w:w="1012" w:type="dxa"/>
            <w:tcBorders>
              <w:top w:val="single" w:sz="4" w:space="0" w:color="000000"/>
              <w:left w:val="nil"/>
              <w:bottom w:val="single" w:sz="4" w:space="0" w:color="auto"/>
              <w:right w:val="single" w:sz="4" w:space="0" w:color="auto"/>
            </w:tcBorders>
            <w:shd w:val="clear" w:color="auto" w:fill="auto"/>
            <w:noWrap/>
            <w:vAlign w:val="bottom"/>
            <w:hideMark/>
          </w:tcPr>
          <w:p w:rsidR="0076651B" w:rsidRPr="00D15F76" w:rsidRDefault="0076651B" w:rsidP="00DB432D">
            <w:pPr>
              <w:jc w:val="right"/>
              <w:rPr>
                <w:rFonts w:cs="Arial"/>
                <w:color w:val="000000"/>
                <w:sz w:val="22"/>
                <w:szCs w:val="22"/>
                <w:lang w:eastAsia="en-GB"/>
              </w:rPr>
            </w:pPr>
            <w:r w:rsidRPr="00D15F76">
              <w:rPr>
                <w:rFonts w:cs="Arial"/>
                <w:color w:val="000000"/>
                <w:sz w:val="22"/>
                <w:szCs w:val="22"/>
                <w:lang w:eastAsia="en-GB"/>
              </w:rPr>
              <w:t>50790</w:t>
            </w:r>
          </w:p>
        </w:tc>
      </w:tr>
    </w:tbl>
    <w:p w:rsidR="00587E31" w:rsidRDefault="00587E31" w:rsidP="00587E31">
      <w:pPr>
        <w:pStyle w:val="Level1"/>
        <w:keepNext w:val="0"/>
        <w:widowControl w:val="0"/>
        <w:numPr>
          <w:ilvl w:val="0"/>
          <w:numId w:val="0"/>
        </w:numPr>
        <w:spacing w:before="0" w:after="0"/>
        <w:ind w:left="720" w:hanging="720"/>
        <w:rPr>
          <w:b w:val="0"/>
          <w:bCs/>
          <w:caps w:val="0"/>
          <w:color w:val="000000"/>
          <w:sz w:val="22"/>
          <w:szCs w:val="22"/>
        </w:rPr>
      </w:pPr>
    </w:p>
    <w:p w:rsidR="004F353D" w:rsidRPr="00A337FE" w:rsidRDefault="004F353D" w:rsidP="00A337FE">
      <w:pPr>
        <w:rPr>
          <w:sz w:val="22"/>
          <w:szCs w:val="22"/>
        </w:rPr>
      </w:pPr>
    </w:p>
    <w:p w:rsidR="004F353D" w:rsidRPr="00A337FE" w:rsidRDefault="007049E1" w:rsidP="00A337FE">
      <w:pPr>
        <w:rPr>
          <w:b/>
          <w:sz w:val="22"/>
          <w:szCs w:val="22"/>
        </w:rPr>
      </w:pPr>
      <w:r w:rsidRPr="00A337FE">
        <w:rPr>
          <w:b/>
          <w:sz w:val="22"/>
          <w:szCs w:val="22"/>
        </w:rPr>
        <w:t>Other c</w:t>
      </w:r>
      <w:r w:rsidR="004F353D" w:rsidRPr="00A337FE">
        <w:rPr>
          <w:b/>
          <w:sz w:val="22"/>
          <w:szCs w:val="22"/>
        </w:rPr>
        <w:t>ontr</w:t>
      </w:r>
      <w:r w:rsidRPr="00A337FE">
        <w:rPr>
          <w:b/>
          <w:sz w:val="22"/>
          <w:szCs w:val="22"/>
        </w:rPr>
        <w:t>acts ending in 2017/18 but not yet seeking re-commissioning</w:t>
      </w:r>
    </w:p>
    <w:p w:rsidR="004F353D" w:rsidRPr="00A337FE" w:rsidRDefault="004F353D" w:rsidP="00A337FE">
      <w:pPr>
        <w:rPr>
          <w:sz w:val="22"/>
          <w:szCs w:val="22"/>
        </w:rPr>
      </w:pPr>
    </w:p>
    <w:p w:rsidR="007049E1" w:rsidRDefault="007049E1" w:rsidP="00823F6A">
      <w:pPr>
        <w:jc w:val="both"/>
        <w:rPr>
          <w:sz w:val="22"/>
          <w:szCs w:val="22"/>
        </w:rPr>
      </w:pPr>
      <w:r w:rsidRPr="00A337FE">
        <w:rPr>
          <w:sz w:val="22"/>
          <w:szCs w:val="22"/>
        </w:rPr>
        <w:t>These public health services have their contracts ending in 2017/18; some of them will not be re-commissioned whilst others will be re-commissioned either in 2019/20 or 2020/21:</w:t>
      </w:r>
    </w:p>
    <w:p w:rsidR="0076651B" w:rsidRPr="00A337FE" w:rsidRDefault="0076651B" w:rsidP="00A337FE">
      <w:pPr>
        <w:rPr>
          <w:sz w:val="22"/>
          <w:szCs w:val="22"/>
        </w:rPr>
      </w:pPr>
    </w:p>
    <w:p w:rsidR="004F353D" w:rsidRPr="0076651B" w:rsidRDefault="004F353D" w:rsidP="0076651B">
      <w:pPr>
        <w:pStyle w:val="ListParagraph"/>
        <w:numPr>
          <w:ilvl w:val="0"/>
          <w:numId w:val="42"/>
        </w:numPr>
        <w:rPr>
          <w:rFonts w:ascii="Arial" w:hAnsi="Arial" w:cs="Arial"/>
        </w:rPr>
      </w:pPr>
      <w:r w:rsidRPr="0076651B">
        <w:rPr>
          <w:rFonts w:ascii="Arial" w:hAnsi="Arial" w:cs="Arial"/>
        </w:rPr>
        <w:t>Tier 3 Weight Management MDT (option for 24 months extension)</w:t>
      </w:r>
    </w:p>
    <w:p w:rsidR="007049E1" w:rsidRPr="0076651B" w:rsidRDefault="007049E1" w:rsidP="0076651B">
      <w:pPr>
        <w:pStyle w:val="ListParagraph"/>
        <w:numPr>
          <w:ilvl w:val="0"/>
          <w:numId w:val="42"/>
        </w:numPr>
        <w:rPr>
          <w:rFonts w:ascii="Arial" w:hAnsi="Arial" w:cs="Arial"/>
        </w:rPr>
      </w:pPr>
      <w:r w:rsidRPr="0076651B">
        <w:rPr>
          <w:rFonts w:ascii="Arial" w:hAnsi="Arial" w:cs="Arial"/>
        </w:rPr>
        <w:t>Alcohol Concern’s Blue</w:t>
      </w:r>
      <w:r w:rsidR="0076651B">
        <w:rPr>
          <w:rFonts w:ascii="Arial" w:hAnsi="Arial" w:cs="Arial"/>
        </w:rPr>
        <w:t xml:space="preserve"> Light Project (no extension)</w:t>
      </w:r>
    </w:p>
    <w:p w:rsidR="00823F6A" w:rsidRDefault="00823F6A" w:rsidP="00E12355">
      <w:pPr>
        <w:pStyle w:val="Heading2"/>
      </w:pPr>
    </w:p>
    <w:p w:rsidR="00823F6A" w:rsidRDefault="00823F6A" w:rsidP="00E12355">
      <w:pPr>
        <w:pStyle w:val="Heading2"/>
      </w:pPr>
    </w:p>
    <w:p w:rsidR="00E12355" w:rsidRPr="00E12355" w:rsidRDefault="00E12355" w:rsidP="00E12355">
      <w:pPr>
        <w:pStyle w:val="Heading2"/>
      </w:pPr>
      <w:bookmarkStart w:id="33" w:name="_Toc483994465"/>
      <w:r>
        <w:t xml:space="preserve">5.3 </w:t>
      </w:r>
      <w:r w:rsidR="00FE4E67">
        <w:tab/>
      </w:r>
      <w:r>
        <w:t>Overall Impact on the Public Health Grant Spend</w:t>
      </w:r>
      <w:bookmarkEnd w:id="33"/>
    </w:p>
    <w:p w:rsidR="00E12355" w:rsidRDefault="00E12355" w:rsidP="00E12355">
      <w:pPr>
        <w:rPr>
          <w:lang w:val="en-GB"/>
        </w:rPr>
      </w:pPr>
    </w:p>
    <w:p w:rsidR="00E12355" w:rsidRPr="00E12355" w:rsidRDefault="00E12355" w:rsidP="00823F6A">
      <w:pPr>
        <w:jc w:val="both"/>
        <w:rPr>
          <w:sz w:val="22"/>
          <w:szCs w:val="22"/>
          <w:lang w:val="en-GB"/>
        </w:rPr>
      </w:pPr>
      <w:r w:rsidRPr="00E12355">
        <w:rPr>
          <w:sz w:val="22"/>
          <w:szCs w:val="22"/>
          <w:lang w:val="en-GB"/>
        </w:rPr>
        <w:t xml:space="preserve">If the four services outlined above are </w:t>
      </w:r>
      <w:proofErr w:type="spellStart"/>
      <w:r w:rsidRPr="00E12355">
        <w:rPr>
          <w:sz w:val="22"/>
          <w:szCs w:val="22"/>
          <w:lang w:val="en-GB"/>
        </w:rPr>
        <w:t>recommissioned</w:t>
      </w:r>
      <w:proofErr w:type="spellEnd"/>
      <w:r w:rsidRPr="00E12355">
        <w:rPr>
          <w:sz w:val="22"/>
          <w:szCs w:val="22"/>
          <w:lang w:val="en-GB"/>
        </w:rPr>
        <w:t xml:space="preserve"> then the likely impact on the public health grant is shown below in table 7. </w:t>
      </w:r>
      <w:proofErr w:type="gramStart"/>
      <w:r w:rsidRPr="00E12355">
        <w:rPr>
          <w:sz w:val="22"/>
          <w:szCs w:val="22"/>
          <w:lang w:val="en-GB"/>
        </w:rPr>
        <w:t>The overspend</w:t>
      </w:r>
      <w:proofErr w:type="gramEnd"/>
      <w:r w:rsidRPr="00E12355">
        <w:rPr>
          <w:sz w:val="22"/>
          <w:szCs w:val="22"/>
          <w:lang w:val="en-GB"/>
        </w:rPr>
        <w:t xml:space="preserve"> in 18/19 can be met (one-off) from the public health contingency leaving a final contingency of £220k.</w:t>
      </w:r>
    </w:p>
    <w:p w:rsidR="00E12355" w:rsidRPr="00E12355" w:rsidRDefault="00E12355" w:rsidP="00E12355">
      <w:pPr>
        <w:rPr>
          <w:lang w:val="en-GB"/>
        </w:rPr>
      </w:pPr>
    </w:p>
    <w:tbl>
      <w:tblPr>
        <w:tblW w:w="9120" w:type="dxa"/>
        <w:tblInd w:w="103" w:type="dxa"/>
        <w:tblLook w:val="04A0" w:firstRow="1" w:lastRow="0" w:firstColumn="1" w:lastColumn="0" w:noHBand="0" w:noVBand="1"/>
      </w:tblPr>
      <w:tblGrid>
        <w:gridCol w:w="4400"/>
        <w:gridCol w:w="1180"/>
        <w:gridCol w:w="1180"/>
        <w:gridCol w:w="1180"/>
        <w:gridCol w:w="1180"/>
      </w:tblGrid>
      <w:tr w:rsidR="00E12355" w:rsidRPr="00E12355" w:rsidTr="00E12355">
        <w:trPr>
          <w:trHeight w:val="300"/>
          <w:tblHeader/>
        </w:trPr>
        <w:tc>
          <w:tcPr>
            <w:tcW w:w="4400" w:type="dxa"/>
            <w:vMerge w:val="restart"/>
            <w:tcBorders>
              <w:top w:val="single" w:sz="4" w:space="0" w:color="auto"/>
              <w:left w:val="single" w:sz="4" w:space="0" w:color="auto"/>
              <w:bottom w:val="single" w:sz="4" w:space="0" w:color="auto"/>
              <w:right w:val="single" w:sz="4" w:space="0" w:color="auto"/>
            </w:tcBorders>
            <w:shd w:val="clear" w:color="auto" w:fill="D9D9D9"/>
            <w:vAlign w:val="bottom"/>
            <w:hideMark/>
          </w:tcPr>
          <w:p w:rsidR="00E12355" w:rsidRPr="00E12355" w:rsidRDefault="00E12355" w:rsidP="00E12355">
            <w:pPr>
              <w:overflowPunct/>
              <w:autoSpaceDE/>
              <w:autoSpaceDN/>
              <w:adjustRightInd/>
              <w:textAlignment w:val="auto"/>
              <w:rPr>
                <w:rFonts w:cs="Arial"/>
                <w:sz w:val="22"/>
                <w:szCs w:val="22"/>
                <w:lang w:val="en-GB" w:eastAsia="en-GB"/>
              </w:rPr>
            </w:pPr>
          </w:p>
        </w:tc>
        <w:tc>
          <w:tcPr>
            <w:tcW w:w="1180" w:type="dxa"/>
            <w:tcBorders>
              <w:top w:val="single" w:sz="4" w:space="0" w:color="auto"/>
              <w:left w:val="nil"/>
              <w:bottom w:val="single" w:sz="4" w:space="0" w:color="auto"/>
              <w:right w:val="single" w:sz="4" w:space="0" w:color="auto"/>
            </w:tcBorders>
            <w:shd w:val="clear" w:color="auto" w:fill="D9D9D9"/>
            <w:noWrap/>
            <w:vAlign w:val="bottom"/>
            <w:hideMark/>
          </w:tcPr>
          <w:p w:rsidR="00E12355" w:rsidRPr="00E12355" w:rsidRDefault="00E12355" w:rsidP="00E12355">
            <w:pPr>
              <w:overflowPunct/>
              <w:autoSpaceDE/>
              <w:autoSpaceDN/>
              <w:adjustRightInd/>
              <w:jc w:val="right"/>
              <w:textAlignment w:val="auto"/>
              <w:rPr>
                <w:rFonts w:cs="Arial"/>
                <w:sz w:val="22"/>
                <w:szCs w:val="22"/>
                <w:lang w:val="en-GB" w:eastAsia="en-GB"/>
              </w:rPr>
            </w:pPr>
            <w:r w:rsidRPr="00E12355">
              <w:rPr>
                <w:rFonts w:cs="Arial"/>
                <w:sz w:val="22"/>
                <w:szCs w:val="22"/>
                <w:lang w:val="en-GB" w:eastAsia="en-GB"/>
              </w:rPr>
              <w:t>2017/18</w:t>
            </w:r>
          </w:p>
        </w:tc>
        <w:tc>
          <w:tcPr>
            <w:tcW w:w="1180" w:type="dxa"/>
            <w:tcBorders>
              <w:top w:val="single" w:sz="4" w:space="0" w:color="auto"/>
              <w:left w:val="nil"/>
              <w:bottom w:val="single" w:sz="4" w:space="0" w:color="auto"/>
              <w:right w:val="single" w:sz="4" w:space="0" w:color="auto"/>
            </w:tcBorders>
            <w:shd w:val="clear" w:color="auto" w:fill="D9D9D9"/>
            <w:noWrap/>
            <w:vAlign w:val="bottom"/>
            <w:hideMark/>
          </w:tcPr>
          <w:p w:rsidR="00E12355" w:rsidRPr="00E12355" w:rsidRDefault="00E12355" w:rsidP="00E12355">
            <w:pPr>
              <w:overflowPunct/>
              <w:autoSpaceDE/>
              <w:autoSpaceDN/>
              <w:adjustRightInd/>
              <w:jc w:val="right"/>
              <w:textAlignment w:val="auto"/>
              <w:rPr>
                <w:rFonts w:cs="Arial"/>
                <w:sz w:val="22"/>
                <w:szCs w:val="22"/>
                <w:lang w:val="en-GB" w:eastAsia="en-GB"/>
              </w:rPr>
            </w:pPr>
            <w:r w:rsidRPr="00E12355">
              <w:rPr>
                <w:rFonts w:cs="Arial"/>
                <w:sz w:val="22"/>
                <w:szCs w:val="22"/>
                <w:lang w:val="en-GB" w:eastAsia="en-GB"/>
              </w:rPr>
              <w:t>2018/19</w:t>
            </w:r>
          </w:p>
        </w:tc>
        <w:tc>
          <w:tcPr>
            <w:tcW w:w="1180" w:type="dxa"/>
            <w:tcBorders>
              <w:top w:val="single" w:sz="4" w:space="0" w:color="auto"/>
              <w:left w:val="nil"/>
              <w:bottom w:val="single" w:sz="4" w:space="0" w:color="auto"/>
              <w:right w:val="single" w:sz="4" w:space="0" w:color="auto"/>
            </w:tcBorders>
            <w:shd w:val="clear" w:color="auto" w:fill="D9D9D9"/>
            <w:noWrap/>
            <w:vAlign w:val="bottom"/>
            <w:hideMark/>
          </w:tcPr>
          <w:p w:rsidR="00E12355" w:rsidRPr="00E12355" w:rsidRDefault="00E12355" w:rsidP="00E12355">
            <w:pPr>
              <w:overflowPunct/>
              <w:autoSpaceDE/>
              <w:autoSpaceDN/>
              <w:adjustRightInd/>
              <w:jc w:val="right"/>
              <w:textAlignment w:val="auto"/>
              <w:rPr>
                <w:rFonts w:cs="Arial"/>
                <w:sz w:val="22"/>
                <w:szCs w:val="22"/>
                <w:lang w:val="en-GB" w:eastAsia="en-GB"/>
              </w:rPr>
            </w:pPr>
            <w:r w:rsidRPr="00E12355">
              <w:rPr>
                <w:rFonts w:cs="Arial"/>
                <w:sz w:val="22"/>
                <w:szCs w:val="22"/>
                <w:lang w:val="en-GB" w:eastAsia="en-GB"/>
              </w:rPr>
              <w:t>2019/20</w:t>
            </w:r>
          </w:p>
        </w:tc>
        <w:tc>
          <w:tcPr>
            <w:tcW w:w="1180" w:type="dxa"/>
            <w:tcBorders>
              <w:top w:val="single" w:sz="4" w:space="0" w:color="auto"/>
              <w:left w:val="nil"/>
              <w:bottom w:val="single" w:sz="4" w:space="0" w:color="auto"/>
              <w:right w:val="single" w:sz="4" w:space="0" w:color="auto"/>
            </w:tcBorders>
            <w:shd w:val="clear" w:color="auto" w:fill="D9D9D9"/>
            <w:noWrap/>
            <w:vAlign w:val="bottom"/>
            <w:hideMark/>
          </w:tcPr>
          <w:p w:rsidR="00E12355" w:rsidRPr="00E12355" w:rsidRDefault="00E12355" w:rsidP="00E12355">
            <w:pPr>
              <w:overflowPunct/>
              <w:autoSpaceDE/>
              <w:autoSpaceDN/>
              <w:adjustRightInd/>
              <w:jc w:val="right"/>
              <w:textAlignment w:val="auto"/>
              <w:rPr>
                <w:rFonts w:cs="Arial"/>
                <w:sz w:val="22"/>
                <w:szCs w:val="22"/>
                <w:lang w:val="en-GB" w:eastAsia="en-GB"/>
              </w:rPr>
            </w:pPr>
            <w:r w:rsidRPr="00E12355">
              <w:rPr>
                <w:rFonts w:cs="Arial"/>
                <w:sz w:val="22"/>
                <w:szCs w:val="22"/>
                <w:lang w:val="en-GB" w:eastAsia="en-GB"/>
              </w:rPr>
              <w:t>2020/21</w:t>
            </w:r>
          </w:p>
        </w:tc>
      </w:tr>
      <w:tr w:rsidR="00E12355" w:rsidRPr="00E12355" w:rsidTr="00E12355">
        <w:trPr>
          <w:trHeight w:val="300"/>
          <w:tblHeader/>
        </w:trPr>
        <w:tc>
          <w:tcPr>
            <w:tcW w:w="440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E12355" w:rsidRPr="00E12355" w:rsidRDefault="00E12355" w:rsidP="00E12355">
            <w:pPr>
              <w:overflowPunct/>
              <w:autoSpaceDE/>
              <w:autoSpaceDN/>
              <w:adjustRightInd/>
              <w:textAlignment w:val="auto"/>
              <w:rPr>
                <w:rFonts w:cs="Arial"/>
                <w:sz w:val="22"/>
                <w:szCs w:val="22"/>
                <w:lang w:val="en-GB" w:eastAsia="en-GB"/>
              </w:rPr>
            </w:pPr>
          </w:p>
        </w:tc>
        <w:tc>
          <w:tcPr>
            <w:tcW w:w="1180" w:type="dxa"/>
            <w:tcBorders>
              <w:top w:val="nil"/>
              <w:left w:val="nil"/>
              <w:bottom w:val="single" w:sz="4" w:space="0" w:color="auto"/>
              <w:right w:val="single" w:sz="4" w:space="0" w:color="auto"/>
            </w:tcBorders>
            <w:shd w:val="clear" w:color="auto" w:fill="D9D9D9"/>
            <w:noWrap/>
            <w:vAlign w:val="bottom"/>
            <w:hideMark/>
          </w:tcPr>
          <w:p w:rsidR="00E12355" w:rsidRPr="00E12355" w:rsidRDefault="00E12355" w:rsidP="00E12355">
            <w:pPr>
              <w:overflowPunct/>
              <w:autoSpaceDE/>
              <w:autoSpaceDN/>
              <w:adjustRightInd/>
              <w:jc w:val="center"/>
              <w:textAlignment w:val="auto"/>
              <w:rPr>
                <w:rFonts w:cs="Arial"/>
                <w:sz w:val="22"/>
                <w:szCs w:val="22"/>
                <w:lang w:val="en-GB" w:eastAsia="en-GB"/>
              </w:rPr>
            </w:pPr>
            <w:r w:rsidRPr="00E12355">
              <w:rPr>
                <w:rFonts w:cs="Arial"/>
                <w:sz w:val="22"/>
                <w:szCs w:val="22"/>
                <w:lang w:val="en-GB" w:eastAsia="en-GB"/>
              </w:rPr>
              <w:t>£000's</w:t>
            </w:r>
          </w:p>
        </w:tc>
        <w:tc>
          <w:tcPr>
            <w:tcW w:w="1180" w:type="dxa"/>
            <w:tcBorders>
              <w:top w:val="nil"/>
              <w:left w:val="nil"/>
              <w:bottom w:val="single" w:sz="4" w:space="0" w:color="auto"/>
              <w:right w:val="single" w:sz="4" w:space="0" w:color="auto"/>
            </w:tcBorders>
            <w:shd w:val="clear" w:color="auto" w:fill="D9D9D9"/>
            <w:noWrap/>
            <w:vAlign w:val="bottom"/>
            <w:hideMark/>
          </w:tcPr>
          <w:p w:rsidR="00E12355" w:rsidRPr="00E12355" w:rsidRDefault="00E12355" w:rsidP="00E12355">
            <w:pPr>
              <w:overflowPunct/>
              <w:autoSpaceDE/>
              <w:autoSpaceDN/>
              <w:adjustRightInd/>
              <w:jc w:val="center"/>
              <w:textAlignment w:val="auto"/>
              <w:rPr>
                <w:rFonts w:cs="Arial"/>
                <w:sz w:val="22"/>
                <w:szCs w:val="22"/>
                <w:lang w:val="en-GB" w:eastAsia="en-GB"/>
              </w:rPr>
            </w:pPr>
            <w:r w:rsidRPr="00E12355">
              <w:rPr>
                <w:rFonts w:cs="Arial"/>
                <w:sz w:val="22"/>
                <w:szCs w:val="22"/>
                <w:lang w:val="en-GB" w:eastAsia="en-GB"/>
              </w:rPr>
              <w:t>£000's</w:t>
            </w:r>
          </w:p>
        </w:tc>
        <w:tc>
          <w:tcPr>
            <w:tcW w:w="1180" w:type="dxa"/>
            <w:tcBorders>
              <w:top w:val="nil"/>
              <w:left w:val="nil"/>
              <w:bottom w:val="single" w:sz="4" w:space="0" w:color="auto"/>
              <w:right w:val="single" w:sz="4" w:space="0" w:color="auto"/>
            </w:tcBorders>
            <w:shd w:val="clear" w:color="auto" w:fill="D9D9D9"/>
            <w:noWrap/>
            <w:vAlign w:val="bottom"/>
            <w:hideMark/>
          </w:tcPr>
          <w:p w:rsidR="00E12355" w:rsidRPr="00E12355" w:rsidRDefault="00E12355" w:rsidP="00E12355">
            <w:pPr>
              <w:overflowPunct/>
              <w:autoSpaceDE/>
              <w:autoSpaceDN/>
              <w:adjustRightInd/>
              <w:jc w:val="center"/>
              <w:textAlignment w:val="auto"/>
              <w:rPr>
                <w:rFonts w:cs="Arial"/>
                <w:sz w:val="22"/>
                <w:szCs w:val="22"/>
                <w:lang w:val="en-GB" w:eastAsia="en-GB"/>
              </w:rPr>
            </w:pPr>
            <w:r w:rsidRPr="00E12355">
              <w:rPr>
                <w:rFonts w:cs="Arial"/>
                <w:sz w:val="22"/>
                <w:szCs w:val="22"/>
                <w:lang w:val="en-GB" w:eastAsia="en-GB"/>
              </w:rPr>
              <w:t>£000's</w:t>
            </w:r>
          </w:p>
        </w:tc>
        <w:tc>
          <w:tcPr>
            <w:tcW w:w="1180" w:type="dxa"/>
            <w:tcBorders>
              <w:top w:val="nil"/>
              <w:left w:val="nil"/>
              <w:bottom w:val="single" w:sz="4" w:space="0" w:color="auto"/>
              <w:right w:val="single" w:sz="4" w:space="0" w:color="auto"/>
            </w:tcBorders>
            <w:shd w:val="clear" w:color="auto" w:fill="D9D9D9"/>
            <w:noWrap/>
            <w:vAlign w:val="bottom"/>
            <w:hideMark/>
          </w:tcPr>
          <w:p w:rsidR="00E12355" w:rsidRPr="00E12355" w:rsidRDefault="00E12355" w:rsidP="00E12355">
            <w:pPr>
              <w:overflowPunct/>
              <w:autoSpaceDE/>
              <w:autoSpaceDN/>
              <w:adjustRightInd/>
              <w:jc w:val="center"/>
              <w:textAlignment w:val="auto"/>
              <w:rPr>
                <w:rFonts w:cs="Arial"/>
                <w:sz w:val="22"/>
                <w:szCs w:val="22"/>
                <w:lang w:val="en-GB" w:eastAsia="en-GB"/>
              </w:rPr>
            </w:pPr>
            <w:r w:rsidRPr="00E12355">
              <w:rPr>
                <w:rFonts w:cs="Arial"/>
                <w:sz w:val="22"/>
                <w:szCs w:val="22"/>
                <w:lang w:val="en-GB" w:eastAsia="en-GB"/>
              </w:rPr>
              <w:t>£000's</w:t>
            </w:r>
          </w:p>
        </w:tc>
      </w:tr>
      <w:tr w:rsidR="00E12355" w:rsidRPr="00E12355" w:rsidTr="00E12355">
        <w:trPr>
          <w:trHeight w:val="300"/>
        </w:trPr>
        <w:tc>
          <w:tcPr>
            <w:tcW w:w="4400" w:type="dxa"/>
            <w:tcBorders>
              <w:top w:val="nil"/>
              <w:left w:val="single" w:sz="4" w:space="0" w:color="auto"/>
              <w:bottom w:val="single" w:sz="4" w:space="0" w:color="auto"/>
              <w:right w:val="single" w:sz="4" w:space="0" w:color="auto"/>
            </w:tcBorders>
            <w:shd w:val="clear" w:color="000000" w:fill="FFFFFF"/>
            <w:vAlign w:val="bottom"/>
            <w:hideMark/>
          </w:tcPr>
          <w:p w:rsidR="00E12355" w:rsidRPr="00E12355" w:rsidRDefault="00E12355" w:rsidP="00E12355">
            <w:pPr>
              <w:overflowPunct/>
              <w:autoSpaceDE/>
              <w:autoSpaceDN/>
              <w:adjustRightInd/>
              <w:textAlignment w:val="auto"/>
              <w:rPr>
                <w:rFonts w:cs="Arial"/>
                <w:sz w:val="22"/>
                <w:szCs w:val="22"/>
                <w:lang w:val="en-GB" w:eastAsia="en-GB"/>
              </w:rPr>
            </w:pPr>
            <w:r w:rsidRPr="00E12355">
              <w:rPr>
                <w:rFonts w:cs="Arial"/>
                <w:sz w:val="22"/>
                <w:szCs w:val="22"/>
                <w:lang w:val="en-GB" w:eastAsia="en-GB"/>
              </w:rPr>
              <w:t xml:space="preserve">Public Health Grant </w:t>
            </w:r>
          </w:p>
        </w:tc>
        <w:tc>
          <w:tcPr>
            <w:tcW w:w="1180" w:type="dxa"/>
            <w:tcBorders>
              <w:top w:val="nil"/>
              <w:left w:val="nil"/>
              <w:bottom w:val="single" w:sz="4" w:space="0" w:color="auto"/>
              <w:right w:val="single" w:sz="4" w:space="0" w:color="auto"/>
            </w:tcBorders>
            <w:shd w:val="clear" w:color="000000" w:fill="FFFFFF"/>
            <w:noWrap/>
            <w:vAlign w:val="bottom"/>
            <w:hideMark/>
          </w:tcPr>
          <w:p w:rsidR="00E12355" w:rsidRPr="00E12355" w:rsidRDefault="00E12355" w:rsidP="00E12355">
            <w:pPr>
              <w:overflowPunct/>
              <w:autoSpaceDE/>
              <w:autoSpaceDN/>
              <w:adjustRightInd/>
              <w:jc w:val="right"/>
              <w:textAlignment w:val="auto"/>
              <w:rPr>
                <w:rFonts w:cs="Arial"/>
                <w:sz w:val="22"/>
                <w:szCs w:val="22"/>
                <w:lang w:val="en-GB" w:eastAsia="en-GB"/>
              </w:rPr>
            </w:pPr>
            <w:r w:rsidRPr="00E12355">
              <w:rPr>
                <w:rFonts w:cs="Arial"/>
                <w:sz w:val="22"/>
                <w:szCs w:val="22"/>
                <w:lang w:val="en-GB" w:eastAsia="en-GB"/>
              </w:rPr>
              <w:t xml:space="preserve">24,437 </w:t>
            </w:r>
          </w:p>
        </w:tc>
        <w:tc>
          <w:tcPr>
            <w:tcW w:w="1180" w:type="dxa"/>
            <w:tcBorders>
              <w:top w:val="nil"/>
              <w:left w:val="nil"/>
              <w:bottom w:val="single" w:sz="4" w:space="0" w:color="auto"/>
              <w:right w:val="single" w:sz="4" w:space="0" w:color="auto"/>
            </w:tcBorders>
            <w:shd w:val="clear" w:color="000000" w:fill="FFFFFF"/>
            <w:noWrap/>
            <w:vAlign w:val="bottom"/>
            <w:hideMark/>
          </w:tcPr>
          <w:p w:rsidR="00E12355" w:rsidRPr="00E12355" w:rsidRDefault="00E12355" w:rsidP="00E12355">
            <w:pPr>
              <w:overflowPunct/>
              <w:autoSpaceDE/>
              <w:autoSpaceDN/>
              <w:adjustRightInd/>
              <w:jc w:val="right"/>
              <w:textAlignment w:val="auto"/>
              <w:rPr>
                <w:rFonts w:cs="Arial"/>
                <w:sz w:val="22"/>
                <w:szCs w:val="22"/>
                <w:lang w:val="en-GB" w:eastAsia="en-GB"/>
              </w:rPr>
            </w:pPr>
            <w:r w:rsidRPr="00E12355">
              <w:rPr>
                <w:rFonts w:cs="Arial"/>
                <w:sz w:val="22"/>
                <w:szCs w:val="22"/>
                <w:lang w:val="en-GB" w:eastAsia="en-GB"/>
              </w:rPr>
              <w:t xml:space="preserve">23,802 </w:t>
            </w:r>
          </w:p>
        </w:tc>
        <w:tc>
          <w:tcPr>
            <w:tcW w:w="1180" w:type="dxa"/>
            <w:tcBorders>
              <w:top w:val="nil"/>
              <w:left w:val="nil"/>
              <w:bottom w:val="single" w:sz="4" w:space="0" w:color="auto"/>
              <w:right w:val="single" w:sz="4" w:space="0" w:color="auto"/>
            </w:tcBorders>
            <w:shd w:val="clear" w:color="000000" w:fill="FFFFFF"/>
            <w:noWrap/>
            <w:vAlign w:val="bottom"/>
            <w:hideMark/>
          </w:tcPr>
          <w:p w:rsidR="00E12355" w:rsidRPr="00E12355" w:rsidRDefault="00E12355" w:rsidP="00E12355">
            <w:pPr>
              <w:overflowPunct/>
              <w:autoSpaceDE/>
              <w:autoSpaceDN/>
              <w:adjustRightInd/>
              <w:jc w:val="right"/>
              <w:textAlignment w:val="auto"/>
              <w:rPr>
                <w:rFonts w:cs="Arial"/>
                <w:sz w:val="22"/>
                <w:szCs w:val="22"/>
                <w:lang w:val="en-GB" w:eastAsia="en-GB"/>
              </w:rPr>
            </w:pPr>
            <w:r w:rsidRPr="00E12355">
              <w:rPr>
                <w:rFonts w:cs="Arial"/>
                <w:sz w:val="22"/>
                <w:szCs w:val="22"/>
                <w:lang w:val="en-GB" w:eastAsia="en-GB"/>
              </w:rPr>
              <w:t xml:space="preserve">23,184 </w:t>
            </w:r>
          </w:p>
        </w:tc>
        <w:tc>
          <w:tcPr>
            <w:tcW w:w="1180" w:type="dxa"/>
            <w:tcBorders>
              <w:top w:val="nil"/>
              <w:left w:val="nil"/>
              <w:bottom w:val="single" w:sz="4" w:space="0" w:color="auto"/>
              <w:right w:val="single" w:sz="4" w:space="0" w:color="auto"/>
            </w:tcBorders>
            <w:shd w:val="clear" w:color="000000" w:fill="FFFFFF"/>
            <w:noWrap/>
            <w:vAlign w:val="bottom"/>
            <w:hideMark/>
          </w:tcPr>
          <w:p w:rsidR="00E12355" w:rsidRPr="00E12355" w:rsidRDefault="00E12355" w:rsidP="00E12355">
            <w:pPr>
              <w:overflowPunct/>
              <w:autoSpaceDE/>
              <w:autoSpaceDN/>
              <w:adjustRightInd/>
              <w:jc w:val="right"/>
              <w:textAlignment w:val="auto"/>
              <w:rPr>
                <w:rFonts w:cs="Arial"/>
                <w:sz w:val="22"/>
                <w:szCs w:val="22"/>
                <w:lang w:val="en-GB" w:eastAsia="en-GB"/>
              </w:rPr>
            </w:pPr>
            <w:r w:rsidRPr="00E12355">
              <w:rPr>
                <w:rFonts w:cs="Arial"/>
                <w:sz w:val="22"/>
                <w:szCs w:val="22"/>
                <w:lang w:val="en-GB" w:eastAsia="en-GB"/>
              </w:rPr>
              <w:t xml:space="preserve">22,566 </w:t>
            </w:r>
          </w:p>
        </w:tc>
      </w:tr>
      <w:tr w:rsidR="00E12355" w:rsidRPr="00E12355" w:rsidTr="00E12355">
        <w:trPr>
          <w:trHeight w:val="300"/>
        </w:trPr>
        <w:tc>
          <w:tcPr>
            <w:tcW w:w="4400" w:type="dxa"/>
            <w:tcBorders>
              <w:top w:val="nil"/>
              <w:left w:val="single" w:sz="4" w:space="0" w:color="auto"/>
              <w:bottom w:val="single" w:sz="4" w:space="0" w:color="auto"/>
              <w:right w:val="single" w:sz="4" w:space="0" w:color="auto"/>
            </w:tcBorders>
            <w:shd w:val="clear" w:color="000000" w:fill="FFFFFF"/>
            <w:vAlign w:val="bottom"/>
          </w:tcPr>
          <w:p w:rsidR="00E12355" w:rsidRPr="00E12355" w:rsidRDefault="00E12355" w:rsidP="00E12355">
            <w:pPr>
              <w:overflowPunct/>
              <w:autoSpaceDE/>
              <w:autoSpaceDN/>
              <w:adjustRightInd/>
              <w:textAlignment w:val="auto"/>
              <w:rPr>
                <w:rFonts w:cs="Arial"/>
                <w:sz w:val="22"/>
                <w:szCs w:val="22"/>
                <w:lang w:val="en-GB" w:eastAsia="en-GB"/>
              </w:rPr>
            </w:pPr>
            <w:r w:rsidRPr="00E12355">
              <w:rPr>
                <w:rFonts w:cs="Arial"/>
                <w:sz w:val="22"/>
                <w:szCs w:val="22"/>
                <w:lang w:val="en-GB" w:eastAsia="en-GB"/>
              </w:rPr>
              <w:t>Public Health Other income</w:t>
            </w:r>
          </w:p>
        </w:tc>
        <w:tc>
          <w:tcPr>
            <w:tcW w:w="1180" w:type="dxa"/>
            <w:tcBorders>
              <w:top w:val="nil"/>
              <w:left w:val="nil"/>
              <w:bottom w:val="single" w:sz="4" w:space="0" w:color="auto"/>
              <w:right w:val="single" w:sz="4" w:space="0" w:color="auto"/>
            </w:tcBorders>
            <w:shd w:val="clear" w:color="000000" w:fill="FFFFFF"/>
            <w:noWrap/>
            <w:vAlign w:val="bottom"/>
          </w:tcPr>
          <w:p w:rsidR="00E12355" w:rsidRPr="00E12355" w:rsidRDefault="00E12355" w:rsidP="00E12355">
            <w:pPr>
              <w:overflowPunct/>
              <w:autoSpaceDE/>
              <w:autoSpaceDN/>
              <w:adjustRightInd/>
              <w:jc w:val="right"/>
              <w:textAlignment w:val="auto"/>
              <w:rPr>
                <w:rFonts w:cs="Arial"/>
                <w:sz w:val="22"/>
                <w:szCs w:val="22"/>
                <w:lang w:val="en-GB" w:eastAsia="en-GB"/>
              </w:rPr>
            </w:pPr>
            <w:r w:rsidRPr="00E12355">
              <w:rPr>
                <w:rFonts w:cs="Arial"/>
                <w:sz w:val="22"/>
                <w:szCs w:val="22"/>
                <w:lang w:val="en-GB" w:eastAsia="en-GB"/>
              </w:rPr>
              <w:t>528</w:t>
            </w:r>
          </w:p>
        </w:tc>
        <w:tc>
          <w:tcPr>
            <w:tcW w:w="1180" w:type="dxa"/>
            <w:tcBorders>
              <w:top w:val="nil"/>
              <w:left w:val="nil"/>
              <w:bottom w:val="single" w:sz="4" w:space="0" w:color="auto"/>
              <w:right w:val="single" w:sz="4" w:space="0" w:color="auto"/>
            </w:tcBorders>
            <w:shd w:val="clear" w:color="000000" w:fill="FFFFFF"/>
            <w:noWrap/>
            <w:vAlign w:val="bottom"/>
          </w:tcPr>
          <w:p w:rsidR="00E12355" w:rsidRPr="00E12355" w:rsidRDefault="00E12355" w:rsidP="00E12355">
            <w:pPr>
              <w:overflowPunct/>
              <w:autoSpaceDE/>
              <w:autoSpaceDN/>
              <w:adjustRightInd/>
              <w:jc w:val="right"/>
              <w:textAlignment w:val="auto"/>
              <w:rPr>
                <w:rFonts w:cs="Arial"/>
                <w:sz w:val="22"/>
                <w:szCs w:val="22"/>
                <w:lang w:val="en-GB" w:eastAsia="en-GB"/>
              </w:rPr>
            </w:pPr>
            <w:r w:rsidRPr="00E12355">
              <w:rPr>
                <w:rFonts w:cs="Arial"/>
                <w:sz w:val="22"/>
                <w:szCs w:val="22"/>
                <w:lang w:val="en-GB" w:eastAsia="en-GB"/>
              </w:rPr>
              <w:t>528</w:t>
            </w:r>
          </w:p>
        </w:tc>
        <w:tc>
          <w:tcPr>
            <w:tcW w:w="1180" w:type="dxa"/>
            <w:tcBorders>
              <w:top w:val="nil"/>
              <w:left w:val="nil"/>
              <w:bottom w:val="single" w:sz="4" w:space="0" w:color="auto"/>
              <w:right w:val="single" w:sz="4" w:space="0" w:color="auto"/>
            </w:tcBorders>
            <w:shd w:val="clear" w:color="000000" w:fill="FFFFFF"/>
            <w:noWrap/>
            <w:vAlign w:val="bottom"/>
          </w:tcPr>
          <w:p w:rsidR="00E12355" w:rsidRPr="00E12355" w:rsidRDefault="00E12355" w:rsidP="00E12355">
            <w:pPr>
              <w:overflowPunct/>
              <w:autoSpaceDE/>
              <w:autoSpaceDN/>
              <w:adjustRightInd/>
              <w:jc w:val="right"/>
              <w:textAlignment w:val="auto"/>
              <w:rPr>
                <w:rFonts w:cs="Arial"/>
                <w:sz w:val="22"/>
                <w:szCs w:val="22"/>
                <w:lang w:val="en-GB" w:eastAsia="en-GB"/>
              </w:rPr>
            </w:pPr>
            <w:r w:rsidRPr="00E12355">
              <w:rPr>
                <w:rFonts w:cs="Arial"/>
                <w:sz w:val="22"/>
                <w:szCs w:val="22"/>
                <w:lang w:val="en-GB" w:eastAsia="en-GB"/>
              </w:rPr>
              <w:t>528</w:t>
            </w:r>
          </w:p>
        </w:tc>
        <w:tc>
          <w:tcPr>
            <w:tcW w:w="1180" w:type="dxa"/>
            <w:tcBorders>
              <w:top w:val="nil"/>
              <w:left w:val="nil"/>
              <w:bottom w:val="single" w:sz="4" w:space="0" w:color="auto"/>
              <w:right w:val="single" w:sz="4" w:space="0" w:color="auto"/>
            </w:tcBorders>
            <w:shd w:val="clear" w:color="000000" w:fill="FFFFFF"/>
            <w:noWrap/>
            <w:vAlign w:val="bottom"/>
          </w:tcPr>
          <w:p w:rsidR="00E12355" w:rsidRPr="00E12355" w:rsidRDefault="00E12355" w:rsidP="00E12355">
            <w:pPr>
              <w:overflowPunct/>
              <w:autoSpaceDE/>
              <w:autoSpaceDN/>
              <w:adjustRightInd/>
              <w:jc w:val="right"/>
              <w:textAlignment w:val="auto"/>
              <w:rPr>
                <w:rFonts w:cs="Arial"/>
                <w:sz w:val="22"/>
                <w:szCs w:val="22"/>
                <w:lang w:val="en-GB" w:eastAsia="en-GB"/>
              </w:rPr>
            </w:pPr>
            <w:r w:rsidRPr="00E12355">
              <w:rPr>
                <w:rFonts w:cs="Arial"/>
                <w:sz w:val="22"/>
                <w:szCs w:val="22"/>
                <w:lang w:val="en-GB" w:eastAsia="en-GB"/>
              </w:rPr>
              <w:t>528</w:t>
            </w:r>
          </w:p>
        </w:tc>
      </w:tr>
      <w:tr w:rsidR="00E12355" w:rsidRPr="00E12355" w:rsidTr="00E12355">
        <w:trPr>
          <w:trHeight w:val="300"/>
        </w:trPr>
        <w:tc>
          <w:tcPr>
            <w:tcW w:w="4400" w:type="dxa"/>
            <w:tcBorders>
              <w:top w:val="nil"/>
              <w:left w:val="single" w:sz="4" w:space="0" w:color="auto"/>
              <w:bottom w:val="single" w:sz="4" w:space="0" w:color="auto"/>
              <w:right w:val="single" w:sz="4" w:space="0" w:color="auto"/>
            </w:tcBorders>
            <w:shd w:val="clear" w:color="000000" w:fill="D9D9D9"/>
            <w:vAlign w:val="bottom"/>
            <w:hideMark/>
          </w:tcPr>
          <w:p w:rsidR="00E12355" w:rsidRPr="00E12355" w:rsidRDefault="00E12355" w:rsidP="00E12355">
            <w:pPr>
              <w:overflowPunct/>
              <w:autoSpaceDE/>
              <w:autoSpaceDN/>
              <w:adjustRightInd/>
              <w:textAlignment w:val="auto"/>
              <w:rPr>
                <w:rFonts w:cs="Arial"/>
                <w:b/>
                <w:bCs/>
                <w:sz w:val="22"/>
                <w:szCs w:val="22"/>
                <w:lang w:val="en-GB" w:eastAsia="en-GB"/>
              </w:rPr>
            </w:pPr>
          </w:p>
          <w:p w:rsidR="00E12355" w:rsidRPr="00E12355" w:rsidRDefault="00E12355" w:rsidP="00E12355">
            <w:pPr>
              <w:overflowPunct/>
              <w:autoSpaceDE/>
              <w:autoSpaceDN/>
              <w:adjustRightInd/>
              <w:textAlignment w:val="auto"/>
              <w:rPr>
                <w:rFonts w:cs="Arial"/>
                <w:b/>
                <w:bCs/>
                <w:sz w:val="22"/>
                <w:szCs w:val="22"/>
                <w:lang w:val="en-GB" w:eastAsia="en-GB"/>
              </w:rPr>
            </w:pPr>
            <w:r w:rsidRPr="00E12355">
              <w:rPr>
                <w:rFonts w:cs="Arial"/>
                <w:b/>
                <w:bCs/>
                <w:sz w:val="22"/>
                <w:szCs w:val="22"/>
                <w:lang w:val="en-GB" w:eastAsia="en-GB"/>
              </w:rPr>
              <w:t>Total PH income</w:t>
            </w:r>
          </w:p>
        </w:tc>
        <w:tc>
          <w:tcPr>
            <w:tcW w:w="1180" w:type="dxa"/>
            <w:tcBorders>
              <w:top w:val="nil"/>
              <w:left w:val="nil"/>
              <w:bottom w:val="single" w:sz="4" w:space="0" w:color="auto"/>
              <w:right w:val="single" w:sz="4" w:space="0" w:color="auto"/>
            </w:tcBorders>
            <w:shd w:val="clear" w:color="000000" w:fill="FFFFFF"/>
            <w:noWrap/>
            <w:vAlign w:val="bottom"/>
            <w:hideMark/>
          </w:tcPr>
          <w:p w:rsidR="00E12355" w:rsidRPr="00E12355" w:rsidRDefault="00E12355" w:rsidP="00E12355">
            <w:pPr>
              <w:overflowPunct/>
              <w:autoSpaceDE/>
              <w:autoSpaceDN/>
              <w:adjustRightInd/>
              <w:jc w:val="right"/>
              <w:textAlignment w:val="auto"/>
              <w:rPr>
                <w:rFonts w:cs="Arial"/>
                <w:b/>
                <w:sz w:val="22"/>
                <w:szCs w:val="22"/>
                <w:lang w:val="en-GB" w:eastAsia="en-GB"/>
              </w:rPr>
            </w:pPr>
            <w:r w:rsidRPr="00E12355">
              <w:rPr>
                <w:rFonts w:cs="Arial"/>
                <w:b/>
                <w:sz w:val="22"/>
                <w:szCs w:val="22"/>
                <w:lang w:val="en-GB" w:eastAsia="en-GB"/>
              </w:rPr>
              <w:t xml:space="preserve">24,965 </w:t>
            </w:r>
          </w:p>
        </w:tc>
        <w:tc>
          <w:tcPr>
            <w:tcW w:w="1180" w:type="dxa"/>
            <w:tcBorders>
              <w:top w:val="nil"/>
              <w:left w:val="nil"/>
              <w:bottom w:val="single" w:sz="4" w:space="0" w:color="auto"/>
              <w:right w:val="single" w:sz="4" w:space="0" w:color="auto"/>
            </w:tcBorders>
            <w:shd w:val="clear" w:color="000000" w:fill="FFFFFF"/>
            <w:noWrap/>
            <w:vAlign w:val="bottom"/>
            <w:hideMark/>
          </w:tcPr>
          <w:p w:rsidR="00E12355" w:rsidRPr="00E12355" w:rsidRDefault="00E12355" w:rsidP="00E12355">
            <w:pPr>
              <w:overflowPunct/>
              <w:autoSpaceDE/>
              <w:autoSpaceDN/>
              <w:adjustRightInd/>
              <w:jc w:val="right"/>
              <w:textAlignment w:val="auto"/>
              <w:rPr>
                <w:rFonts w:cs="Arial"/>
                <w:b/>
                <w:sz w:val="22"/>
                <w:szCs w:val="22"/>
                <w:lang w:val="en-GB" w:eastAsia="en-GB"/>
              </w:rPr>
            </w:pPr>
            <w:r w:rsidRPr="00E12355">
              <w:rPr>
                <w:rFonts w:cs="Arial"/>
                <w:b/>
                <w:sz w:val="22"/>
                <w:szCs w:val="22"/>
                <w:lang w:val="en-GB" w:eastAsia="en-GB"/>
              </w:rPr>
              <w:t xml:space="preserve">24,330 </w:t>
            </w:r>
          </w:p>
        </w:tc>
        <w:tc>
          <w:tcPr>
            <w:tcW w:w="1180" w:type="dxa"/>
            <w:tcBorders>
              <w:top w:val="nil"/>
              <w:left w:val="nil"/>
              <w:bottom w:val="single" w:sz="4" w:space="0" w:color="auto"/>
              <w:right w:val="single" w:sz="4" w:space="0" w:color="auto"/>
            </w:tcBorders>
            <w:shd w:val="clear" w:color="000000" w:fill="FFFFFF"/>
            <w:noWrap/>
            <w:vAlign w:val="bottom"/>
            <w:hideMark/>
          </w:tcPr>
          <w:p w:rsidR="00E12355" w:rsidRPr="00E12355" w:rsidRDefault="00E12355" w:rsidP="00E12355">
            <w:pPr>
              <w:overflowPunct/>
              <w:autoSpaceDE/>
              <w:autoSpaceDN/>
              <w:adjustRightInd/>
              <w:jc w:val="right"/>
              <w:textAlignment w:val="auto"/>
              <w:rPr>
                <w:rFonts w:cs="Arial"/>
                <w:b/>
                <w:sz w:val="22"/>
                <w:szCs w:val="22"/>
                <w:lang w:val="en-GB" w:eastAsia="en-GB"/>
              </w:rPr>
            </w:pPr>
            <w:r w:rsidRPr="00E12355">
              <w:rPr>
                <w:rFonts w:cs="Arial"/>
                <w:b/>
                <w:sz w:val="22"/>
                <w:szCs w:val="22"/>
                <w:lang w:val="en-GB" w:eastAsia="en-GB"/>
              </w:rPr>
              <w:t xml:space="preserve">23,712 </w:t>
            </w:r>
          </w:p>
        </w:tc>
        <w:tc>
          <w:tcPr>
            <w:tcW w:w="1180" w:type="dxa"/>
            <w:tcBorders>
              <w:top w:val="nil"/>
              <w:left w:val="nil"/>
              <w:bottom w:val="single" w:sz="4" w:space="0" w:color="auto"/>
              <w:right w:val="single" w:sz="4" w:space="0" w:color="auto"/>
            </w:tcBorders>
            <w:shd w:val="clear" w:color="000000" w:fill="FFFFFF"/>
            <w:noWrap/>
            <w:vAlign w:val="bottom"/>
            <w:hideMark/>
          </w:tcPr>
          <w:p w:rsidR="00E12355" w:rsidRPr="00E12355" w:rsidRDefault="00E12355" w:rsidP="00E12355">
            <w:pPr>
              <w:overflowPunct/>
              <w:autoSpaceDE/>
              <w:autoSpaceDN/>
              <w:adjustRightInd/>
              <w:jc w:val="right"/>
              <w:textAlignment w:val="auto"/>
              <w:rPr>
                <w:rFonts w:cs="Arial"/>
                <w:b/>
                <w:sz w:val="22"/>
                <w:szCs w:val="22"/>
                <w:lang w:val="en-GB" w:eastAsia="en-GB"/>
              </w:rPr>
            </w:pPr>
            <w:r w:rsidRPr="00E12355">
              <w:rPr>
                <w:rFonts w:cs="Arial"/>
                <w:b/>
                <w:sz w:val="22"/>
                <w:szCs w:val="22"/>
                <w:lang w:val="en-GB" w:eastAsia="en-GB"/>
              </w:rPr>
              <w:t xml:space="preserve">23,094 </w:t>
            </w:r>
          </w:p>
        </w:tc>
      </w:tr>
      <w:tr w:rsidR="00E12355" w:rsidRPr="00E12355" w:rsidTr="00E12355">
        <w:trPr>
          <w:trHeight w:val="410"/>
        </w:trPr>
        <w:tc>
          <w:tcPr>
            <w:tcW w:w="4400" w:type="dxa"/>
            <w:tcBorders>
              <w:top w:val="nil"/>
              <w:left w:val="single" w:sz="4" w:space="0" w:color="auto"/>
              <w:bottom w:val="single" w:sz="4" w:space="0" w:color="auto"/>
              <w:right w:val="single" w:sz="4" w:space="0" w:color="auto"/>
            </w:tcBorders>
            <w:shd w:val="clear" w:color="auto" w:fill="8DB3E2"/>
            <w:vAlign w:val="bottom"/>
            <w:hideMark/>
          </w:tcPr>
          <w:p w:rsidR="00E12355" w:rsidRPr="00E12355" w:rsidRDefault="00E12355" w:rsidP="00E12355">
            <w:pPr>
              <w:overflowPunct/>
              <w:autoSpaceDE/>
              <w:autoSpaceDN/>
              <w:adjustRightInd/>
              <w:textAlignment w:val="auto"/>
              <w:rPr>
                <w:rFonts w:cs="Arial"/>
                <w:b/>
                <w:bCs/>
                <w:sz w:val="22"/>
                <w:szCs w:val="22"/>
                <w:lang w:val="en-GB" w:eastAsia="en-GB"/>
              </w:rPr>
            </w:pPr>
            <w:r w:rsidRPr="00E12355">
              <w:rPr>
                <w:rFonts w:cs="Arial"/>
                <w:b/>
                <w:bCs/>
                <w:sz w:val="22"/>
                <w:szCs w:val="22"/>
                <w:lang w:val="en-GB" w:eastAsia="en-GB"/>
              </w:rPr>
              <w:t>Expenditure: Commissioned Services</w:t>
            </w:r>
          </w:p>
        </w:tc>
        <w:tc>
          <w:tcPr>
            <w:tcW w:w="1180" w:type="dxa"/>
            <w:tcBorders>
              <w:top w:val="nil"/>
              <w:left w:val="nil"/>
              <w:bottom w:val="single" w:sz="4" w:space="0" w:color="auto"/>
              <w:right w:val="single" w:sz="4" w:space="0" w:color="auto"/>
            </w:tcBorders>
            <w:shd w:val="clear" w:color="auto" w:fill="8DB3E2"/>
            <w:noWrap/>
            <w:vAlign w:val="bottom"/>
            <w:hideMark/>
          </w:tcPr>
          <w:p w:rsidR="00E12355" w:rsidRPr="00E12355" w:rsidRDefault="00E12355" w:rsidP="00E12355">
            <w:pPr>
              <w:overflowPunct/>
              <w:autoSpaceDE/>
              <w:autoSpaceDN/>
              <w:adjustRightInd/>
              <w:textAlignment w:val="auto"/>
              <w:rPr>
                <w:rFonts w:cs="Arial"/>
                <w:sz w:val="22"/>
                <w:szCs w:val="22"/>
                <w:lang w:val="en-GB" w:eastAsia="en-GB"/>
              </w:rPr>
            </w:pPr>
            <w:r w:rsidRPr="00E12355">
              <w:rPr>
                <w:rFonts w:cs="Arial"/>
                <w:sz w:val="22"/>
                <w:szCs w:val="22"/>
                <w:lang w:val="en-GB" w:eastAsia="en-GB"/>
              </w:rPr>
              <w:t> </w:t>
            </w:r>
          </w:p>
        </w:tc>
        <w:tc>
          <w:tcPr>
            <w:tcW w:w="1180" w:type="dxa"/>
            <w:tcBorders>
              <w:top w:val="nil"/>
              <w:left w:val="nil"/>
              <w:bottom w:val="single" w:sz="4" w:space="0" w:color="auto"/>
              <w:right w:val="single" w:sz="4" w:space="0" w:color="auto"/>
            </w:tcBorders>
            <w:shd w:val="clear" w:color="auto" w:fill="8DB3E2"/>
            <w:noWrap/>
            <w:vAlign w:val="bottom"/>
            <w:hideMark/>
          </w:tcPr>
          <w:p w:rsidR="00E12355" w:rsidRPr="00E12355" w:rsidRDefault="00E12355" w:rsidP="00E12355">
            <w:pPr>
              <w:overflowPunct/>
              <w:autoSpaceDE/>
              <w:autoSpaceDN/>
              <w:adjustRightInd/>
              <w:textAlignment w:val="auto"/>
              <w:rPr>
                <w:rFonts w:cs="Arial"/>
                <w:sz w:val="22"/>
                <w:szCs w:val="22"/>
                <w:lang w:val="en-GB" w:eastAsia="en-GB"/>
              </w:rPr>
            </w:pPr>
            <w:r w:rsidRPr="00E12355">
              <w:rPr>
                <w:rFonts w:cs="Arial"/>
                <w:sz w:val="22"/>
                <w:szCs w:val="22"/>
                <w:lang w:val="en-GB" w:eastAsia="en-GB"/>
              </w:rPr>
              <w:t> </w:t>
            </w:r>
          </w:p>
        </w:tc>
        <w:tc>
          <w:tcPr>
            <w:tcW w:w="1180" w:type="dxa"/>
            <w:tcBorders>
              <w:top w:val="nil"/>
              <w:left w:val="nil"/>
              <w:bottom w:val="single" w:sz="4" w:space="0" w:color="auto"/>
              <w:right w:val="single" w:sz="4" w:space="0" w:color="auto"/>
            </w:tcBorders>
            <w:shd w:val="clear" w:color="auto" w:fill="8DB3E2"/>
            <w:noWrap/>
            <w:vAlign w:val="bottom"/>
            <w:hideMark/>
          </w:tcPr>
          <w:p w:rsidR="00E12355" w:rsidRPr="00E12355" w:rsidRDefault="00E12355" w:rsidP="00E12355">
            <w:pPr>
              <w:overflowPunct/>
              <w:autoSpaceDE/>
              <w:autoSpaceDN/>
              <w:adjustRightInd/>
              <w:textAlignment w:val="auto"/>
              <w:rPr>
                <w:rFonts w:cs="Arial"/>
                <w:sz w:val="22"/>
                <w:szCs w:val="22"/>
                <w:lang w:val="en-GB" w:eastAsia="en-GB"/>
              </w:rPr>
            </w:pPr>
            <w:r w:rsidRPr="00E12355">
              <w:rPr>
                <w:rFonts w:cs="Arial"/>
                <w:sz w:val="22"/>
                <w:szCs w:val="22"/>
                <w:lang w:val="en-GB" w:eastAsia="en-GB"/>
              </w:rPr>
              <w:t> </w:t>
            </w:r>
          </w:p>
        </w:tc>
        <w:tc>
          <w:tcPr>
            <w:tcW w:w="1180" w:type="dxa"/>
            <w:tcBorders>
              <w:top w:val="nil"/>
              <w:left w:val="nil"/>
              <w:bottom w:val="single" w:sz="4" w:space="0" w:color="auto"/>
              <w:right w:val="single" w:sz="4" w:space="0" w:color="auto"/>
            </w:tcBorders>
            <w:shd w:val="clear" w:color="auto" w:fill="8DB3E2"/>
            <w:noWrap/>
            <w:vAlign w:val="bottom"/>
            <w:hideMark/>
          </w:tcPr>
          <w:p w:rsidR="00E12355" w:rsidRPr="00E12355" w:rsidRDefault="00E12355" w:rsidP="00E12355">
            <w:pPr>
              <w:overflowPunct/>
              <w:autoSpaceDE/>
              <w:autoSpaceDN/>
              <w:adjustRightInd/>
              <w:textAlignment w:val="auto"/>
              <w:rPr>
                <w:rFonts w:cs="Arial"/>
                <w:sz w:val="22"/>
                <w:szCs w:val="22"/>
                <w:lang w:val="en-GB" w:eastAsia="en-GB"/>
              </w:rPr>
            </w:pPr>
            <w:r w:rsidRPr="00E12355">
              <w:rPr>
                <w:rFonts w:cs="Arial"/>
                <w:sz w:val="22"/>
                <w:szCs w:val="22"/>
                <w:lang w:val="en-GB" w:eastAsia="en-GB"/>
              </w:rPr>
              <w:t> </w:t>
            </w:r>
          </w:p>
        </w:tc>
      </w:tr>
      <w:tr w:rsidR="00E12355" w:rsidRPr="00E12355" w:rsidTr="00E12355">
        <w:trPr>
          <w:trHeight w:val="300"/>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E12355" w:rsidRPr="00E12355" w:rsidRDefault="00E12355" w:rsidP="00E12355">
            <w:pPr>
              <w:overflowPunct/>
              <w:autoSpaceDE/>
              <w:autoSpaceDN/>
              <w:adjustRightInd/>
              <w:textAlignment w:val="auto"/>
              <w:rPr>
                <w:rFonts w:cs="Arial"/>
                <w:sz w:val="22"/>
                <w:szCs w:val="22"/>
                <w:lang w:val="en-GB" w:eastAsia="en-GB"/>
              </w:rPr>
            </w:pPr>
            <w:r w:rsidRPr="00E12355">
              <w:rPr>
                <w:rFonts w:cs="Arial"/>
                <w:sz w:val="22"/>
                <w:szCs w:val="22"/>
                <w:lang w:val="en-GB" w:eastAsia="en-GB"/>
              </w:rPr>
              <w:t>Sexual Health</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color w:val="000000"/>
                <w:sz w:val="22"/>
                <w:szCs w:val="22"/>
                <w:lang w:val="en-GB"/>
              </w:rPr>
            </w:pPr>
            <w:r w:rsidRPr="00E12355">
              <w:rPr>
                <w:rFonts w:cs="Arial"/>
                <w:color w:val="000000"/>
                <w:sz w:val="22"/>
                <w:szCs w:val="22"/>
                <w:lang w:val="en-GB"/>
              </w:rPr>
              <w:t xml:space="preserve">2,297 </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color w:val="000000"/>
                <w:sz w:val="22"/>
                <w:szCs w:val="22"/>
                <w:lang w:val="en-GB"/>
              </w:rPr>
            </w:pPr>
            <w:r w:rsidRPr="00E12355">
              <w:rPr>
                <w:rFonts w:cs="Arial"/>
                <w:color w:val="000000"/>
                <w:sz w:val="22"/>
                <w:szCs w:val="22"/>
                <w:lang w:val="en-GB"/>
              </w:rPr>
              <w:t xml:space="preserve">2,272 </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bCs/>
                <w:color w:val="000000"/>
                <w:sz w:val="22"/>
                <w:szCs w:val="22"/>
                <w:lang w:val="en-GB"/>
              </w:rPr>
            </w:pPr>
            <w:r w:rsidRPr="00E12355">
              <w:rPr>
                <w:rFonts w:cs="Arial"/>
                <w:bCs/>
                <w:color w:val="000000"/>
                <w:sz w:val="22"/>
                <w:szCs w:val="22"/>
                <w:lang w:val="en-GB"/>
              </w:rPr>
              <w:t xml:space="preserve">2,272 </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bCs/>
                <w:color w:val="000000"/>
                <w:sz w:val="22"/>
                <w:szCs w:val="22"/>
                <w:lang w:val="en-GB"/>
              </w:rPr>
            </w:pPr>
            <w:r w:rsidRPr="00E12355">
              <w:rPr>
                <w:rFonts w:cs="Arial"/>
                <w:bCs/>
                <w:color w:val="000000"/>
                <w:sz w:val="22"/>
                <w:szCs w:val="22"/>
                <w:lang w:val="en-GB"/>
              </w:rPr>
              <w:t xml:space="preserve">2,272 </w:t>
            </w:r>
          </w:p>
        </w:tc>
      </w:tr>
      <w:tr w:rsidR="00E12355" w:rsidRPr="00E12355" w:rsidTr="00E12355">
        <w:trPr>
          <w:trHeight w:val="300"/>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E12355" w:rsidRPr="00E12355" w:rsidRDefault="00E12355" w:rsidP="00E12355">
            <w:pPr>
              <w:overflowPunct/>
              <w:autoSpaceDE/>
              <w:autoSpaceDN/>
              <w:adjustRightInd/>
              <w:textAlignment w:val="auto"/>
              <w:rPr>
                <w:rFonts w:cs="Arial"/>
                <w:sz w:val="22"/>
                <w:szCs w:val="22"/>
                <w:lang w:val="en-GB" w:eastAsia="en-GB"/>
              </w:rPr>
            </w:pPr>
            <w:r w:rsidRPr="00E12355">
              <w:rPr>
                <w:rFonts w:cs="Arial"/>
                <w:sz w:val="22"/>
                <w:szCs w:val="22"/>
                <w:lang w:val="en-GB" w:eastAsia="en-GB"/>
              </w:rPr>
              <w:t>NHS Health Check programme</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color w:val="000000"/>
                <w:sz w:val="22"/>
                <w:szCs w:val="22"/>
                <w:lang w:val="en-GB"/>
              </w:rPr>
            </w:pPr>
            <w:r w:rsidRPr="00E12355">
              <w:rPr>
                <w:rFonts w:cs="Arial"/>
                <w:color w:val="000000"/>
                <w:sz w:val="22"/>
                <w:szCs w:val="22"/>
                <w:lang w:val="en-GB"/>
              </w:rPr>
              <w:t xml:space="preserve">475 </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color w:val="000000"/>
                <w:sz w:val="22"/>
                <w:szCs w:val="22"/>
                <w:lang w:val="en-GB"/>
              </w:rPr>
            </w:pPr>
            <w:r w:rsidRPr="00E12355">
              <w:rPr>
                <w:rFonts w:cs="Arial"/>
                <w:color w:val="000000"/>
                <w:sz w:val="22"/>
                <w:szCs w:val="22"/>
                <w:lang w:val="en-GB"/>
              </w:rPr>
              <w:t xml:space="preserve">475 </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bCs/>
                <w:color w:val="000000"/>
                <w:sz w:val="22"/>
                <w:szCs w:val="22"/>
                <w:lang w:val="en-GB"/>
              </w:rPr>
            </w:pPr>
            <w:r w:rsidRPr="00E12355">
              <w:rPr>
                <w:rFonts w:cs="Arial"/>
                <w:bCs/>
                <w:color w:val="000000"/>
                <w:sz w:val="22"/>
                <w:szCs w:val="22"/>
                <w:lang w:val="en-GB"/>
              </w:rPr>
              <w:t xml:space="preserve">475 </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bCs/>
                <w:color w:val="000000"/>
                <w:sz w:val="22"/>
                <w:szCs w:val="22"/>
                <w:lang w:val="en-GB"/>
              </w:rPr>
            </w:pPr>
            <w:r w:rsidRPr="00E12355">
              <w:rPr>
                <w:rFonts w:cs="Arial"/>
                <w:bCs/>
                <w:color w:val="000000"/>
                <w:sz w:val="22"/>
                <w:szCs w:val="22"/>
                <w:lang w:val="en-GB"/>
              </w:rPr>
              <w:t xml:space="preserve">475 </w:t>
            </w:r>
          </w:p>
        </w:tc>
      </w:tr>
      <w:tr w:rsidR="00E12355" w:rsidRPr="00E12355" w:rsidTr="00E12355">
        <w:trPr>
          <w:trHeight w:val="300"/>
        </w:trPr>
        <w:tc>
          <w:tcPr>
            <w:tcW w:w="4400" w:type="dxa"/>
            <w:tcBorders>
              <w:top w:val="nil"/>
              <w:left w:val="single" w:sz="4" w:space="0" w:color="auto"/>
              <w:bottom w:val="single" w:sz="4" w:space="0" w:color="auto"/>
              <w:right w:val="single" w:sz="4" w:space="0" w:color="auto"/>
            </w:tcBorders>
            <w:shd w:val="clear" w:color="000000" w:fill="FFFFFF"/>
            <w:vAlign w:val="bottom"/>
            <w:hideMark/>
          </w:tcPr>
          <w:p w:rsidR="00E12355" w:rsidRPr="00E12355" w:rsidRDefault="00E12355" w:rsidP="00E12355">
            <w:pPr>
              <w:overflowPunct/>
              <w:autoSpaceDE/>
              <w:autoSpaceDN/>
              <w:adjustRightInd/>
              <w:textAlignment w:val="auto"/>
              <w:rPr>
                <w:rFonts w:cs="Arial"/>
                <w:sz w:val="22"/>
                <w:szCs w:val="22"/>
                <w:lang w:val="en-GB" w:eastAsia="en-GB"/>
              </w:rPr>
            </w:pPr>
            <w:r w:rsidRPr="00E12355">
              <w:rPr>
                <w:rFonts w:cs="Arial"/>
                <w:sz w:val="22"/>
                <w:szCs w:val="22"/>
                <w:lang w:val="en-GB" w:eastAsia="en-GB"/>
              </w:rPr>
              <w:t>Health protection</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color w:val="000000"/>
                <w:sz w:val="22"/>
                <w:szCs w:val="22"/>
                <w:lang w:val="en-GB"/>
              </w:rPr>
            </w:pPr>
            <w:r w:rsidRPr="00E12355">
              <w:rPr>
                <w:rFonts w:cs="Arial"/>
                <w:color w:val="000000"/>
                <w:sz w:val="22"/>
                <w:szCs w:val="22"/>
                <w:lang w:val="en-GB"/>
              </w:rPr>
              <w:t xml:space="preserve">80 </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color w:val="000000"/>
                <w:sz w:val="22"/>
                <w:szCs w:val="22"/>
                <w:lang w:val="en-GB"/>
              </w:rPr>
            </w:pPr>
            <w:r w:rsidRPr="00E12355">
              <w:rPr>
                <w:rFonts w:cs="Arial"/>
                <w:color w:val="000000"/>
                <w:sz w:val="22"/>
                <w:szCs w:val="22"/>
                <w:lang w:val="en-GB"/>
              </w:rPr>
              <w:t xml:space="preserve">80 </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bCs/>
                <w:color w:val="000000"/>
                <w:sz w:val="22"/>
                <w:szCs w:val="22"/>
                <w:lang w:val="en-GB"/>
              </w:rPr>
            </w:pPr>
            <w:r w:rsidRPr="00E12355">
              <w:rPr>
                <w:rFonts w:cs="Arial"/>
                <w:bCs/>
                <w:color w:val="000000"/>
                <w:sz w:val="22"/>
                <w:szCs w:val="22"/>
                <w:lang w:val="en-GB"/>
              </w:rPr>
              <w:t xml:space="preserve">80 </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bCs/>
                <w:color w:val="000000"/>
                <w:sz w:val="22"/>
                <w:szCs w:val="22"/>
                <w:lang w:val="en-GB"/>
              </w:rPr>
            </w:pPr>
            <w:r w:rsidRPr="00E12355">
              <w:rPr>
                <w:rFonts w:cs="Arial"/>
                <w:bCs/>
                <w:color w:val="000000"/>
                <w:sz w:val="22"/>
                <w:szCs w:val="22"/>
                <w:lang w:val="en-GB"/>
              </w:rPr>
              <w:t xml:space="preserve">80 </w:t>
            </w:r>
          </w:p>
        </w:tc>
      </w:tr>
      <w:tr w:rsidR="00E12355" w:rsidRPr="00E12355" w:rsidTr="00E12355">
        <w:trPr>
          <w:trHeight w:val="290"/>
        </w:trPr>
        <w:tc>
          <w:tcPr>
            <w:tcW w:w="4400" w:type="dxa"/>
            <w:tcBorders>
              <w:top w:val="nil"/>
              <w:left w:val="single" w:sz="4" w:space="0" w:color="auto"/>
              <w:bottom w:val="single" w:sz="4" w:space="0" w:color="auto"/>
              <w:right w:val="single" w:sz="4" w:space="0" w:color="auto"/>
            </w:tcBorders>
            <w:shd w:val="clear" w:color="000000" w:fill="FFFFFF"/>
            <w:vAlign w:val="bottom"/>
            <w:hideMark/>
          </w:tcPr>
          <w:p w:rsidR="00E12355" w:rsidRPr="00E12355" w:rsidRDefault="00E12355" w:rsidP="00E12355">
            <w:pPr>
              <w:overflowPunct/>
              <w:autoSpaceDE/>
              <w:autoSpaceDN/>
              <w:adjustRightInd/>
              <w:textAlignment w:val="auto"/>
              <w:rPr>
                <w:rFonts w:cs="Arial"/>
                <w:sz w:val="22"/>
                <w:szCs w:val="22"/>
                <w:lang w:val="en-GB" w:eastAsia="en-GB"/>
              </w:rPr>
            </w:pPr>
            <w:r w:rsidRPr="00E12355">
              <w:rPr>
                <w:rFonts w:cs="Arial"/>
                <w:sz w:val="22"/>
                <w:szCs w:val="22"/>
                <w:lang w:val="en-GB" w:eastAsia="en-GB"/>
              </w:rPr>
              <w:t>National Child Measurement Programme</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color w:val="000000"/>
                <w:sz w:val="22"/>
                <w:szCs w:val="22"/>
                <w:lang w:val="en-GB"/>
              </w:rPr>
            </w:pPr>
            <w:r w:rsidRPr="00E12355">
              <w:rPr>
                <w:rFonts w:cs="Arial"/>
                <w:color w:val="000000"/>
                <w:sz w:val="22"/>
                <w:szCs w:val="22"/>
                <w:lang w:val="en-GB"/>
              </w:rPr>
              <w:t xml:space="preserve">68 </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color w:val="000000"/>
                <w:sz w:val="22"/>
                <w:szCs w:val="22"/>
                <w:lang w:val="en-GB"/>
              </w:rPr>
            </w:pPr>
            <w:r w:rsidRPr="00E12355">
              <w:rPr>
                <w:rFonts w:cs="Arial"/>
                <w:color w:val="000000"/>
                <w:sz w:val="22"/>
                <w:szCs w:val="22"/>
                <w:lang w:val="en-GB"/>
              </w:rPr>
              <w:t xml:space="preserve">68 </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color w:val="000000"/>
                <w:sz w:val="22"/>
                <w:szCs w:val="22"/>
                <w:lang w:val="en-GB"/>
              </w:rPr>
            </w:pPr>
            <w:r w:rsidRPr="00E12355">
              <w:rPr>
                <w:rFonts w:cs="Arial"/>
                <w:color w:val="000000"/>
                <w:sz w:val="22"/>
                <w:szCs w:val="22"/>
                <w:lang w:val="en-GB"/>
              </w:rPr>
              <w:t xml:space="preserve">68 </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color w:val="000000"/>
                <w:sz w:val="22"/>
                <w:szCs w:val="22"/>
                <w:lang w:val="en-GB"/>
              </w:rPr>
            </w:pPr>
            <w:r w:rsidRPr="00E12355">
              <w:rPr>
                <w:rFonts w:cs="Arial"/>
                <w:color w:val="000000"/>
                <w:sz w:val="22"/>
                <w:szCs w:val="22"/>
                <w:lang w:val="en-GB"/>
              </w:rPr>
              <w:t xml:space="preserve">68 </w:t>
            </w:r>
          </w:p>
        </w:tc>
      </w:tr>
      <w:tr w:rsidR="00E12355" w:rsidRPr="00E12355" w:rsidTr="00E12355">
        <w:trPr>
          <w:trHeight w:val="300"/>
        </w:trPr>
        <w:tc>
          <w:tcPr>
            <w:tcW w:w="4400" w:type="dxa"/>
            <w:tcBorders>
              <w:top w:val="nil"/>
              <w:left w:val="single" w:sz="4" w:space="0" w:color="auto"/>
              <w:bottom w:val="single" w:sz="4" w:space="0" w:color="auto"/>
              <w:right w:val="single" w:sz="4" w:space="0" w:color="auto"/>
            </w:tcBorders>
            <w:shd w:val="clear" w:color="000000" w:fill="FFFFFF"/>
            <w:vAlign w:val="bottom"/>
            <w:hideMark/>
          </w:tcPr>
          <w:p w:rsidR="00E12355" w:rsidRPr="00E12355" w:rsidRDefault="00E12355" w:rsidP="00E12355">
            <w:pPr>
              <w:overflowPunct/>
              <w:autoSpaceDE/>
              <w:autoSpaceDN/>
              <w:adjustRightInd/>
              <w:textAlignment w:val="auto"/>
              <w:rPr>
                <w:rFonts w:cs="Arial"/>
                <w:sz w:val="22"/>
                <w:szCs w:val="22"/>
                <w:lang w:val="en-GB" w:eastAsia="en-GB"/>
              </w:rPr>
            </w:pPr>
            <w:r w:rsidRPr="00E12355">
              <w:rPr>
                <w:rFonts w:cs="Arial"/>
                <w:sz w:val="22"/>
                <w:szCs w:val="22"/>
                <w:lang w:val="en-GB" w:eastAsia="en-GB"/>
              </w:rPr>
              <w:t>Obesity</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color w:val="000000"/>
                <w:sz w:val="22"/>
                <w:szCs w:val="22"/>
                <w:lang w:val="en-GB"/>
              </w:rPr>
            </w:pPr>
            <w:r w:rsidRPr="00E12355">
              <w:rPr>
                <w:rFonts w:cs="Arial"/>
                <w:color w:val="000000"/>
                <w:sz w:val="22"/>
                <w:szCs w:val="22"/>
                <w:lang w:val="en-GB"/>
              </w:rPr>
              <w:t xml:space="preserve">170 </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color w:val="000000"/>
                <w:sz w:val="22"/>
                <w:szCs w:val="22"/>
                <w:lang w:val="en-GB"/>
              </w:rPr>
            </w:pPr>
            <w:r w:rsidRPr="00E12355">
              <w:rPr>
                <w:rFonts w:cs="Arial"/>
                <w:color w:val="000000"/>
                <w:sz w:val="22"/>
                <w:szCs w:val="22"/>
                <w:lang w:val="en-GB"/>
              </w:rPr>
              <w:t xml:space="preserve">170 </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bCs/>
                <w:color w:val="000000"/>
                <w:sz w:val="22"/>
                <w:szCs w:val="22"/>
                <w:lang w:val="en-GB"/>
              </w:rPr>
            </w:pPr>
            <w:r w:rsidRPr="00E12355">
              <w:rPr>
                <w:rFonts w:cs="Arial"/>
                <w:bCs/>
                <w:color w:val="000000"/>
                <w:sz w:val="22"/>
                <w:szCs w:val="22"/>
                <w:lang w:val="en-GB"/>
              </w:rPr>
              <w:t xml:space="preserve">170 </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bCs/>
                <w:color w:val="000000"/>
                <w:sz w:val="22"/>
                <w:szCs w:val="22"/>
                <w:lang w:val="en-GB"/>
              </w:rPr>
            </w:pPr>
            <w:r w:rsidRPr="00E12355">
              <w:rPr>
                <w:rFonts w:cs="Arial"/>
                <w:bCs/>
                <w:color w:val="000000"/>
                <w:sz w:val="22"/>
                <w:szCs w:val="22"/>
                <w:lang w:val="en-GB"/>
              </w:rPr>
              <w:t xml:space="preserve">170 </w:t>
            </w:r>
          </w:p>
        </w:tc>
      </w:tr>
      <w:tr w:rsidR="00E12355" w:rsidRPr="00E12355" w:rsidTr="00E12355">
        <w:trPr>
          <w:trHeight w:val="300"/>
        </w:trPr>
        <w:tc>
          <w:tcPr>
            <w:tcW w:w="4400" w:type="dxa"/>
            <w:tcBorders>
              <w:top w:val="nil"/>
              <w:left w:val="single" w:sz="4" w:space="0" w:color="auto"/>
              <w:bottom w:val="single" w:sz="4" w:space="0" w:color="auto"/>
              <w:right w:val="single" w:sz="4" w:space="0" w:color="auto"/>
            </w:tcBorders>
            <w:shd w:val="clear" w:color="000000" w:fill="FFFFFF"/>
            <w:vAlign w:val="bottom"/>
            <w:hideMark/>
          </w:tcPr>
          <w:p w:rsidR="00E12355" w:rsidRPr="00E12355" w:rsidRDefault="00E12355" w:rsidP="00E12355">
            <w:pPr>
              <w:overflowPunct/>
              <w:autoSpaceDE/>
              <w:autoSpaceDN/>
              <w:adjustRightInd/>
              <w:textAlignment w:val="auto"/>
              <w:rPr>
                <w:rFonts w:cs="Arial"/>
                <w:sz w:val="22"/>
                <w:szCs w:val="22"/>
                <w:lang w:val="en-GB" w:eastAsia="en-GB"/>
              </w:rPr>
            </w:pPr>
            <w:r w:rsidRPr="00E12355">
              <w:rPr>
                <w:rFonts w:cs="Arial"/>
                <w:sz w:val="22"/>
                <w:szCs w:val="22"/>
                <w:lang w:val="en-GB" w:eastAsia="en-GB"/>
              </w:rPr>
              <w:t>Physical Activity</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color w:val="000000"/>
                <w:sz w:val="22"/>
                <w:szCs w:val="22"/>
                <w:lang w:val="en-GB"/>
              </w:rPr>
            </w:pPr>
            <w:r w:rsidRPr="00E12355">
              <w:rPr>
                <w:rFonts w:cs="Arial"/>
                <w:color w:val="000000"/>
                <w:sz w:val="22"/>
                <w:szCs w:val="22"/>
                <w:lang w:val="en-GB"/>
              </w:rPr>
              <w:t xml:space="preserve">76 </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color w:val="000000"/>
                <w:sz w:val="22"/>
                <w:szCs w:val="22"/>
                <w:lang w:val="en-GB"/>
              </w:rPr>
            </w:pPr>
            <w:r w:rsidRPr="00E12355">
              <w:rPr>
                <w:rFonts w:cs="Arial"/>
                <w:color w:val="000000"/>
                <w:sz w:val="22"/>
                <w:szCs w:val="22"/>
                <w:lang w:val="en-GB"/>
              </w:rPr>
              <w:t xml:space="preserve">76 </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bCs/>
                <w:color w:val="000000"/>
                <w:sz w:val="22"/>
                <w:szCs w:val="22"/>
                <w:lang w:val="en-GB"/>
              </w:rPr>
            </w:pPr>
            <w:r w:rsidRPr="00E12355">
              <w:rPr>
                <w:rFonts w:cs="Arial"/>
                <w:bCs/>
                <w:color w:val="000000"/>
                <w:sz w:val="22"/>
                <w:szCs w:val="22"/>
                <w:lang w:val="en-GB"/>
              </w:rPr>
              <w:t xml:space="preserve">76 </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bCs/>
                <w:color w:val="000000"/>
                <w:sz w:val="22"/>
                <w:szCs w:val="22"/>
                <w:lang w:val="en-GB"/>
              </w:rPr>
            </w:pPr>
            <w:r w:rsidRPr="00E12355">
              <w:rPr>
                <w:rFonts w:cs="Arial"/>
                <w:bCs/>
                <w:color w:val="000000"/>
                <w:sz w:val="22"/>
                <w:szCs w:val="22"/>
                <w:lang w:val="en-GB"/>
              </w:rPr>
              <w:t xml:space="preserve">69 </w:t>
            </w:r>
          </w:p>
        </w:tc>
      </w:tr>
      <w:tr w:rsidR="00E12355" w:rsidRPr="00E12355" w:rsidTr="00E12355">
        <w:trPr>
          <w:trHeight w:val="300"/>
        </w:trPr>
        <w:tc>
          <w:tcPr>
            <w:tcW w:w="4400" w:type="dxa"/>
            <w:tcBorders>
              <w:top w:val="nil"/>
              <w:left w:val="single" w:sz="4" w:space="0" w:color="auto"/>
              <w:bottom w:val="single" w:sz="4" w:space="0" w:color="auto"/>
              <w:right w:val="single" w:sz="4" w:space="0" w:color="auto"/>
            </w:tcBorders>
            <w:shd w:val="clear" w:color="000000" w:fill="FFFFFF"/>
            <w:vAlign w:val="bottom"/>
            <w:hideMark/>
          </w:tcPr>
          <w:p w:rsidR="00E12355" w:rsidRPr="00E12355" w:rsidRDefault="00E12355" w:rsidP="00E12355">
            <w:pPr>
              <w:overflowPunct/>
              <w:autoSpaceDE/>
              <w:autoSpaceDN/>
              <w:adjustRightInd/>
              <w:textAlignment w:val="auto"/>
              <w:rPr>
                <w:rFonts w:cs="Arial"/>
                <w:sz w:val="22"/>
                <w:szCs w:val="22"/>
                <w:lang w:val="en-GB" w:eastAsia="en-GB"/>
              </w:rPr>
            </w:pPr>
            <w:r w:rsidRPr="00E12355">
              <w:rPr>
                <w:rFonts w:cs="Arial"/>
                <w:sz w:val="22"/>
                <w:szCs w:val="22"/>
                <w:lang w:val="en-GB" w:eastAsia="en-GB"/>
              </w:rPr>
              <w:t>Substance Misuse</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color w:val="000000"/>
                <w:sz w:val="22"/>
                <w:szCs w:val="22"/>
                <w:lang w:val="en-GB"/>
              </w:rPr>
            </w:pPr>
            <w:r w:rsidRPr="00E12355">
              <w:rPr>
                <w:rFonts w:cs="Arial"/>
                <w:color w:val="000000"/>
                <w:sz w:val="22"/>
                <w:szCs w:val="22"/>
                <w:lang w:val="en-GB"/>
              </w:rPr>
              <w:t xml:space="preserve">5,832 </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color w:val="000000"/>
                <w:sz w:val="22"/>
                <w:szCs w:val="22"/>
                <w:lang w:val="en-GB"/>
              </w:rPr>
            </w:pPr>
            <w:r w:rsidRPr="00E12355">
              <w:rPr>
                <w:rFonts w:cs="Arial"/>
                <w:color w:val="000000"/>
                <w:sz w:val="22"/>
                <w:szCs w:val="22"/>
                <w:lang w:val="en-GB"/>
              </w:rPr>
              <w:t xml:space="preserve">5,832 </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bCs/>
                <w:color w:val="000000"/>
                <w:sz w:val="22"/>
                <w:szCs w:val="22"/>
                <w:lang w:val="en-GB"/>
              </w:rPr>
            </w:pPr>
            <w:r w:rsidRPr="00E12355">
              <w:rPr>
                <w:rFonts w:cs="Arial"/>
                <w:bCs/>
                <w:color w:val="000000"/>
                <w:sz w:val="22"/>
                <w:szCs w:val="22"/>
                <w:lang w:val="en-GB"/>
              </w:rPr>
              <w:t xml:space="preserve">5,832 </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bCs/>
                <w:color w:val="000000"/>
                <w:sz w:val="22"/>
                <w:szCs w:val="22"/>
                <w:lang w:val="en-GB"/>
              </w:rPr>
            </w:pPr>
            <w:r w:rsidRPr="00E12355">
              <w:rPr>
                <w:rFonts w:cs="Arial"/>
                <w:bCs/>
                <w:color w:val="000000"/>
                <w:sz w:val="22"/>
                <w:szCs w:val="22"/>
                <w:lang w:val="en-GB"/>
              </w:rPr>
              <w:t xml:space="preserve">5,832 </w:t>
            </w:r>
          </w:p>
        </w:tc>
      </w:tr>
      <w:tr w:rsidR="00E12355" w:rsidRPr="00E12355" w:rsidTr="00E12355">
        <w:trPr>
          <w:trHeight w:val="300"/>
        </w:trPr>
        <w:tc>
          <w:tcPr>
            <w:tcW w:w="4400" w:type="dxa"/>
            <w:tcBorders>
              <w:top w:val="nil"/>
              <w:left w:val="single" w:sz="4" w:space="0" w:color="auto"/>
              <w:bottom w:val="single" w:sz="4" w:space="0" w:color="auto"/>
              <w:right w:val="single" w:sz="4" w:space="0" w:color="auto"/>
            </w:tcBorders>
            <w:shd w:val="clear" w:color="000000" w:fill="FFFFFF"/>
            <w:vAlign w:val="bottom"/>
            <w:hideMark/>
          </w:tcPr>
          <w:p w:rsidR="00E12355" w:rsidRPr="00E12355" w:rsidRDefault="00E12355" w:rsidP="00E12355">
            <w:pPr>
              <w:overflowPunct/>
              <w:autoSpaceDE/>
              <w:autoSpaceDN/>
              <w:adjustRightInd/>
              <w:textAlignment w:val="auto"/>
              <w:rPr>
                <w:rFonts w:cs="Arial"/>
                <w:sz w:val="22"/>
                <w:szCs w:val="22"/>
                <w:lang w:val="en-GB" w:eastAsia="en-GB"/>
              </w:rPr>
            </w:pPr>
            <w:r w:rsidRPr="00E12355">
              <w:rPr>
                <w:rFonts w:cs="Arial"/>
                <w:sz w:val="22"/>
                <w:szCs w:val="22"/>
                <w:lang w:val="en-GB" w:eastAsia="en-GB"/>
              </w:rPr>
              <w:t>Smoking and Tobacco</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color w:val="000000"/>
                <w:sz w:val="22"/>
                <w:szCs w:val="22"/>
                <w:lang w:val="en-GB"/>
              </w:rPr>
            </w:pPr>
            <w:r w:rsidRPr="00E12355">
              <w:rPr>
                <w:rFonts w:cs="Arial"/>
                <w:color w:val="000000"/>
                <w:sz w:val="22"/>
                <w:szCs w:val="22"/>
                <w:lang w:val="en-GB"/>
              </w:rPr>
              <w:t xml:space="preserve">948 </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color w:val="000000"/>
                <w:sz w:val="22"/>
                <w:szCs w:val="22"/>
                <w:lang w:val="en-GB"/>
              </w:rPr>
            </w:pPr>
            <w:r w:rsidRPr="00E12355">
              <w:rPr>
                <w:rFonts w:cs="Arial"/>
                <w:color w:val="000000"/>
                <w:sz w:val="22"/>
                <w:szCs w:val="22"/>
                <w:lang w:val="en-GB"/>
              </w:rPr>
              <w:t xml:space="preserve">894 </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bCs/>
                <w:color w:val="000000"/>
                <w:sz w:val="22"/>
                <w:szCs w:val="22"/>
                <w:lang w:val="en-GB"/>
              </w:rPr>
            </w:pPr>
            <w:r w:rsidRPr="00E12355">
              <w:rPr>
                <w:rFonts w:cs="Arial"/>
                <w:bCs/>
                <w:color w:val="000000"/>
                <w:sz w:val="22"/>
                <w:szCs w:val="22"/>
                <w:lang w:val="en-GB"/>
              </w:rPr>
              <w:t xml:space="preserve">878 </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bCs/>
                <w:color w:val="000000"/>
                <w:sz w:val="22"/>
                <w:szCs w:val="22"/>
                <w:lang w:val="en-GB"/>
              </w:rPr>
            </w:pPr>
            <w:r w:rsidRPr="00E12355">
              <w:rPr>
                <w:rFonts w:cs="Arial"/>
                <w:bCs/>
                <w:color w:val="000000"/>
                <w:sz w:val="22"/>
                <w:szCs w:val="22"/>
                <w:lang w:val="en-GB"/>
              </w:rPr>
              <w:t xml:space="preserve">862 </w:t>
            </w:r>
          </w:p>
        </w:tc>
      </w:tr>
      <w:tr w:rsidR="00E12355" w:rsidRPr="00E12355" w:rsidTr="00E12355">
        <w:trPr>
          <w:trHeight w:val="302"/>
        </w:trPr>
        <w:tc>
          <w:tcPr>
            <w:tcW w:w="4400" w:type="dxa"/>
            <w:tcBorders>
              <w:top w:val="nil"/>
              <w:left w:val="single" w:sz="4" w:space="0" w:color="auto"/>
              <w:bottom w:val="single" w:sz="4" w:space="0" w:color="auto"/>
              <w:right w:val="single" w:sz="4" w:space="0" w:color="auto"/>
            </w:tcBorders>
            <w:shd w:val="clear" w:color="000000" w:fill="FFFFFF"/>
            <w:vAlign w:val="bottom"/>
            <w:hideMark/>
          </w:tcPr>
          <w:p w:rsidR="00E12355" w:rsidRPr="00E12355" w:rsidRDefault="00E12355" w:rsidP="00E12355">
            <w:pPr>
              <w:overflowPunct/>
              <w:autoSpaceDE/>
              <w:autoSpaceDN/>
              <w:adjustRightInd/>
              <w:textAlignment w:val="auto"/>
              <w:rPr>
                <w:rFonts w:cs="Arial"/>
                <w:sz w:val="22"/>
                <w:szCs w:val="22"/>
                <w:lang w:val="en-GB" w:eastAsia="en-GB"/>
              </w:rPr>
            </w:pPr>
            <w:r w:rsidRPr="00E12355">
              <w:rPr>
                <w:rFonts w:cs="Arial"/>
                <w:sz w:val="22"/>
                <w:szCs w:val="22"/>
                <w:lang w:val="en-GB" w:eastAsia="en-GB"/>
              </w:rPr>
              <w:t>Children 5-19 public health programmes</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color w:val="000000"/>
                <w:sz w:val="22"/>
                <w:szCs w:val="22"/>
                <w:lang w:val="en-GB"/>
              </w:rPr>
            </w:pPr>
            <w:r w:rsidRPr="00E12355">
              <w:rPr>
                <w:rFonts w:cs="Arial"/>
                <w:color w:val="000000"/>
                <w:sz w:val="22"/>
                <w:szCs w:val="22"/>
                <w:lang w:val="en-GB"/>
              </w:rPr>
              <w:t xml:space="preserve">1,926 </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color w:val="000000"/>
                <w:sz w:val="22"/>
                <w:szCs w:val="22"/>
                <w:lang w:val="en-GB"/>
              </w:rPr>
            </w:pPr>
            <w:r w:rsidRPr="00E12355">
              <w:rPr>
                <w:rFonts w:cs="Arial"/>
                <w:color w:val="000000"/>
                <w:sz w:val="22"/>
                <w:szCs w:val="22"/>
                <w:lang w:val="en-GB"/>
              </w:rPr>
              <w:t xml:space="preserve">1,867 </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bCs/>
                <w:color w:val="000000"/>
                <w:sz w:val="22"/>
                <w:szCs w:val="22"/>
                <w:lang w:val="en-GB"/>
              </w:rPr>
            </w:pPr>
            <w:r w:rsidRPr="00E12355">
              <w:rPr>
                <w:rFonts w:cs="Arial"/>
                <w:bCs/>
                <w:color w:val="000000"/>
                <w:sz w:val="22"/>
                <w:szCs w:val="22"/>
                <w:lang w:val="en-GB"/>
              </w:rPr>
              <w:t xml:space="preserve">1,821 </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bCs/>
                <w:color w:val="000000"/>
                <w:sz w:val="22"/>
                <w:szCs w:val="22"/>
                <w:lang w:val="en-GB"/>
              </w:rPr>
            </w:pPr>
            <w:r w:rsidRPr="00E12355">
              <w:rPr>
                <w:rFonts w:cs="Arial"/>
                <w:bCs/>
                <w:color w:val="000000"/>
                <w:sz w:val="22"/>
                <w:szCs w:val="22"/>
                <w:lang w:val="en-GB"/>
              </w:rPr>
              <w:t xml:space="preserve">1,821 </w:t>
            </w:r>
          </w:p>
        </w:tc>
      </w:tr>
      <w:tr w:rsidR="00E12355" w:rsidRPr="00E12355" w:rsidTr="00E12355">
        <w:trPr>
          <w:trHeight w:val="300"/>
        </w:trPr>
        <w:tc>
          <w:tcPr>
            <w:tcW w:w="4400" w:type="dxa"/>
            <w:tcBorders>
              <w:top w:val="nil"/>
              <w:left w:val="single" w:sz="4" w:space="0" w:color="auto"/>
              <w:bottom w:val="single" w:sz="4" w:space="0" w:color="auto"/>
              <w:right w:val="single" w:sz="4" w:space="0" w:color="auto"/>
            </w:tcBorders>
            <w:shd w:val="clear" w:color="000000" w:fill="FFFFFF"/>
            <w:vAlign w:val="bottom"/>
            <w:hideMark/>
          </w:tcPr>
          <w:p w:rsidR="00E12355" w:rsidRPr="00E12355" w:rsidRDefault="00E12355" w:rsidP="00E12355">
            <w:pPr>
              <w:overflowPunct/>
              <w:autoSpaceDE/>
              <w:autoSpaceDN/>
              <w:adjustRightInd/>
              <w:textAlignment w:val="auto"/>
              <w:rPr>
                <w:rFonts w:cs="Arial"/>
                <w:sz w:val="22"/>
                <w:szCs w:val="22"/>
                <w:lang w:val="en-GB" w:eastAsia="en-GB"/>
              </w:rPr>
            </w:pPr>
            <w:r w:rsidRPr="00E12355">
              <w:rPr>
                <w:rFonts w:cs="Arial"/>
                <w:sz w:val="22"/>
                <w:szCs w:val="22"/>
                <w:lang w:val="en-GB" w:eastAsia="en-GB"/>
              </w:rPr>
              <w:t>Children 0-5 Health visiting</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color w:val="000000"/>
                <w:sz w:val="22"/>
                <w:szCs w:val="22"/>
                <w:lang w:val="en-GB"/>
              </w:rPr>
            </w:pPr>
            <w:r w:rsidRPr="00E12355">
              <w:rPr>
                <w:rFonts w:cs="Arial"/>
                <w:color w:val="000000"/>
                <w:sz w:val="22"/>
                <w:szCs w:val="22"/>
                <w:lang w:val="en-GB"/>
              </w:rPr>
              <w:t xml:space="preserve">6,526 </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color w:val="000000"/>
                <w:sz w:val="22"/>
                <w:szCs w:val="22"/>
                <w:lang w:val="en-GB"/>
              </w:rPr>
            </w:pPr>
            <w:r w:rsidRPr="00E12355">
              <w:rPr>
                <w:rFonts w:cs="Arial"/>
                <w:color w:val="000000"/>
                <w:sz w:val="22"/>
                <w:szCs w:val="22"/>
                <w:lang w:val="en-GB"/>
              </w:rPr>
              <w:t xml:space="preserve">6,037 </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bCs/>
                <w:color w:val="000000"/>
                <w:sz w:val="22"/>
                <w:szCs w:val="22"/>
                <w:lang w:val="en-GB"/>
              </w:rPr>
            </w:pPr>
            <w:r w:rsidRPr="00E12355">
              <w:rPr>
                <w:rFonts w:cs="Arial"/>
                <w:bCs/>
                <w:color w:val="000000"/>
                <w:sz w:val="22"/>
                <w:szCs w:val="22"/>
                <w:lang w:val="en-GB"/>
              </w:rPr>
              <w:t xml:space="preserve">5,886 </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bCs/>
                <w:color w:val="000000"/>
                <w:sz w:val="22"/>
                <w:szCs w:val="22"/>
                <w:lang w:val="en-GB"/>
              </w:rPr>
            </w:pPr>
            <w:r w:rsidRPr="00E12355">
              <w:rPr>
                <w:rFonts w:cs="Arial"/>
                <w:bCs/>
                <w:color w:val="000000"/>
                <w:sz w:val="22"/>
                <w:szCs w:val="22"/>
                <w:lang w:val="en-GB"/>
              </w:rPr>
              <w:t xml:space="preserve">5,739 </w:t>
            </w:r>
          </w:p>
        </w:tc>
      </w:tr>
      <w:tr w:rsidR="00E12355" w:rsidRPr="00E12355" w:rsidTr="00E12355">
        <w:trPr>
          <w:trHeight w:val="250"/>
        </w:trPr>
        <w:tc>
          <w:tcPr>
            <w:tcW w:w="4400" w:type="dxa"/>
            <w:tcBorders>
              <w:top w:val="nil"/>
              <w:left w:val="single" w:sz="4" w:space="0" w:color="auto"/>
              <w:bottom w:val="single" w:sz="4" w:space="0" w:color="auto"/>
              <w:right w:val="single" w:sz="4" w:space="0" w:color="auto"/>
            </w:tcBorders>
            <w:shd w:val="clear" w:color="000000" w:fill="FFFFFF"/>
            <w:vAlign w:val="bottom"/>
            <w:hideMark/>
          </w:tcPr>
          <w:p w:rsidR="00E12355" w:rsidRPr="00E12355" w:rsidRDefault="00E12355" w:rsidP="00E12355">
            <w:pPr>
              <w:overflowPunct/>
              <w:autoSpaceDE/>
              <w:autoSpaceDN/>
              <w:adjustRightInd/>
              <w:textAlignment w:val="auto"/>
              <w:rPr>
                <w:rFonts w:cs="Arial"/>
                <w:sz w:val="22"/>
                <w:szCs w:val="22"/>
                <w:lang w:val="en-GB" w:eastAsia="en-GB"/>
              </w:rPr>
            </w:pPr>
            <w:r w:rsidRPr="00E12355">
              <w:rPr>
                <w:rFonts w:cs="Arial"/>
                <w:sz w:val="22"/>
                <w:szCs w:val="22"/>
                <w:lang w:val="en-GB" w:eastAsia="en-GB"/>
              </w:rPr>
              <w:t xml:space="preserve">Other public health services </w:t>
            </w:r>
            <w:proofErr w:type="spellStart"/>
            <w:r w:rsidRPr="00E12355">
              <w:rPr>
                <w:rFonts w:cs="Arial"/>
                <w:sz w:val="22"/>
                <w:szCs w:val="22"/>
                <w:lang w:val="en-GB" w:eastAsia="en-GB"/>
              </w:rPr>
              <w:t>misc</w:t>
            </w:r>
            <w:proofErr w:type="spellEnd"/>
            <w:r w:rsidRPr="00E12355">
              <w:rPr>
                <w:rFonts w:cs="Arial"/>
                <w:sz w:val="22"/>
                <w:szCs w:val="22"/>
                <w:lang w:val="en-GB" w:eastAsia="en-GB"/>
              </w:rPr>
              <w:t xml:space="preserve"> H&amp;WB</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color w:val="000000"/>
                <w:sz w:val="22"/>
                <w:szCs w:val="22"/>
                <w:lang w:val="en-GB"/>
              </w:rPr>
            </w:pPr>
            <w:r w:rsidRPr="00E12355">
              <w:rPr>
                <w:rFonts w:cs="Arial"/>
                <w:color w:val="000000"/>
                <w:sz w:val="22"/>
                <w:szCs w:val="22"/>
                <w:lang w:val="en-GB"/>
              </w:rPr>
              <w:t xml:space="preserve">106 </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color w:val="000000"/>
                <w:sz w:val="22"/>
                <w:szCs w:val="22"/>
                <w:lang w:val="en-GB"/>
              </w:rPr>
            </w:pPr>
            <w:r w:rsidRPr="00E12355">
              <w:rPr>
                <w:rFonts w:cs="Arial"/>
                <w:color w:val="000000"/>
                <w:sz w:val="22"/>
                <w:szCs w:val="22"/>
                <w:lang w:val="en-GB"/>
              </w:rPr>
              <w:t xml:space="preserve">106 </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bCs/>
                <w:color w:val="000000"/>
                <w:sz w:val="22"/>
                <w:szCs w:val="22"/>
                <w:lang w:val="en-GB"/>
              </w:rPr>
            </w:pPr>
            <w:r w:rsidRPr="00E12355">
              <w:rPr>
                <w:rFonts w:cs="Arial"/>
                <w:bCs/>
                <w:color w:val="000000"/>
                <w:sz w:val="22"/>
                <w:szCs w:val="22"/>
                <w:lang w:val="en-GB"/>
              </w:rPr>
              <w:t xml:space="preserve">106 </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bCs/>
                <w:color w:val="000000"/>
                <w:sz w:val="22"/>
                <w:szCs w:val="22"/>
                <w:lang w:val="en-GB"/>
              </w:rPr>
            </w:pPr>
            <w:r w:rsidRPr="00E12355">
              <w:rPr>
                <w:rFonts w:cs="Arial"/>
                <w:bCs/>
                <w:color w:val="000000"/>
                <w:sz w:val="22"/>
                <w:szCs w:val="22"/>
                <w:lang w:val="en-GB"/>
              </w:rPr>
              <w:t xml:space="preserve">106 </w:t>
            </w:r>
          </w:p>
        </w:tc>
      </w:tr>
      <w:tr w:rsidR="00E12355" w:rsidRPr="00E12355" w:rsidTr="00E12355">
        <w:trPr>
          <w:trHeight w:val="282"/>
        </w:trPr>
        <w:tc>
          <w:tcPr>
            <w:tcW w:w="4400" w:type="dxa"/>
            <w:tcBorders>
              <w:top w:val="nil"/>
              <w:left w:val="single" w:sz="4" w:space="0" w:color="auto"/>
              <w:bottom w:val="single" w:sz="4" w:space="0" w:color="auto"/>
              <w:right w:val="single" w:sz="4" w:space="0" w:color="auto"/>
            </w:tcBorders>
            <w:shd w:val="clear" w:color="000000" w:fill="FFFFFF"/>
            <w:vAlign w:val="bottom"/>
            <w:hideMark/>
          </w:tcPr>
          <w:p w:rsidR="00E12355" w:rsidRPr="00E12355" w:rsidRDefault="00E12355" w:rsidP="00E12355">
            <w:pPr>
              <w:overflowPunct/>
              <w:autoSpaceDE/>
              <w:autoSpaceDN/>
              <w:adjustRightInd/>
              <w:textAlignment w:val="auto"/>
              <w:rPr>
                <w:rFonts w:cs="Arial"/>
                <w:sz w:val="22"/>
                <w:szCs w:val="22"/>
                <w:lang w:val="en-GB" w:eastAsia="en-GB"/>
              </w:rPr>
            </w:pPr>
          </w:p>
          <w:p w:rsidR="00E12355" w:rsidRPr="00E12355" w:rsidRDefault="00E12355" w:rsidP="00E12355">
            <w:pPr>
              <w:overflowPunct/>
              <w:autoSpaceDE/>
              <w:autoSpaceDN/>
              <w:adjustRightInd/>
              <w:textAlignment w:val="auto"/>
              <w:rPr>
                <w:rFonts w:cs="Arial"/>
                <w:sz w:val="22"/>
                <w:szCs w:val="22"/>
                <w:lang w:val="en-GB" w:eastAsia="en-GB"/>
              </w:rPr>
            </w:pPr>
            <w:r w:rsidRPr="00E12355">
              <w:rPr>
                <w:rFonts w:cs="Arial"/>
                <w:sz w:val="22"/>
                <w:szCs w:val="22"/>
                <w:lang w:val="en-GB" w:eastAsia="en-GB"/>
              </w:rPr>
              <w:t>Sub-total Commissioned Services</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b/>
                <w:bCs/>
                <w:color w:val="000000"/>
                <w:sz w:val="22"/>
                <w:szCs w:val="22"/>
                <w:lang w:val="en-GB"/>
              </w:rPr>
            </w:pPr>
            <w:r w:rsidRPr="00E12355">
              <w:rPr>
                <w:rFonts w:cs="Arial"/>
                <w:b/>
                <w:bCs/>
                <w:color w:val="000000"/>
                <w:sz w:val="22"/>
                <w:szCs w:val="22"/>
                <w:lang w:val="en-GB"/>
              </w:rPr>
              <w:t xml:space="preserve">18,504 </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b/>
                <w:bCs/>
                <w:color w:val="000000"/>
                <w:sz w:val="22"/>
                <w:szCs w:val="22"/>
                <w:lang w:val="en-GB"/>
              </w:rPr>
            </w:pPr>
            <w:r w:rsidRPr="00E12355">
              <w:rPr>
                <w:rFonts w:cs="Arial"/>
                <w:b/>
                <w:bCs/>
                <w:color w:val="000000"/>
                <w:sz w:val="22"/>
                <w:szCs w:val="22"/>
                <w:lang w:val="en-GB"/>
              </w:rPr>
              <w:t xml:space="preserve">17,877 </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b/>
                <w:bCs/>
                <w:color w:val="000000"/>
                <w:sz w:val="22"/>
                <w:szCs w:val="22"/>
                <w:lang w:val="en-GB"/>
              </w:rPr>
            </w:pPr>
            <w:r w:rsidRPr="00E12355">
              <w:rPr>
                <w:rFonts w:cs="Arial"/>
                <w:b/>
                <w:bCs/>
                <w:color w:val="000000"/>
                <w:sz w:val="22"/>
                <w:szCs w:val="22"/>
                <w:lang w:val="en-GB"/>
              </w:rPr>
              <w:t xml:space="preserve">17,664 </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b/>
                <w:bCs/>
                <w:color w:val="000000"/>
                <w:sz w:val="22"/>
                <w:szCs w:val="22"/>
                <w:lang w:val="en-GB"/>
              </w:rPr>
            </w:pPr>
            <w:r w:rsidRPr="00E12355">
              <w:rPr>
                <w:rFonts w:cs="Arial"/>
                <w:b/>
                <w:bCs/>
                <w:color w:val="000000"/>
                <w:sz w:val="22"/>
                <w:szCs w:val="22"/>
                <w:lang w:val="en-GB"/>
              </w:rPr>
              <w:t xml:space="preserve">17,494 </w:t>
            </w:r>
          </w:p>
        </w:tc>
      </w:tr>
      <w:tr w:rsidR="00E12355" w:rsidRPr="00E12355" w:rsidTr="00E12355">
        <w:trPr>
          <w:trHeight w:val="312"/>
        </w:trPr>
        <w:tc>
          <w:tcPr>
            <w:tcW w:w="4400" w:type="dxa"/>
            <w:tcBorders>
              <w:top w:val="nil"/>
              <w:left w:val="single" w:sz="4" w:space="0" w:color="auto"/>
              <w:bottom w:val="single" w:sz="4" w:space="0" w:color="auto"/>
              <w:right w:val="single" w:sz="4" w:space="0" w:color="auto"/>
            </w:tcBorders>
            <w:shd w:val="clear" w:color="auto" w:fill="8DB3E2"/>
            <w:vAlign w:val="bottom"/>
            <w:hideMark/>
          </w:tcPr>
          <w:p w:rsidR="00E12355" w:rsidRPr="00E12355" w:rsidRDefault="00E12355" w:rsidP="00E12355">
            <w:pPr>
              <w:overflowPunct/>
              <w:autoSpaceDE/>
              <w:autoSpaceDN/>
              <w:adjustRightInd/>
              <w:textAlignment w:val="auto"/>
              <w:rPr>
                <w:rFonts w:cs="Arial"/>
                <w:b/>
                <w:bCs/>
                <w:sz w:val="22"/>
                <w:szCs w:val="22"/>
                <w:lang w:val="en-GB" w:eastAsia="en-GB"/>
              </w:rPr>
            </w:pPr>
            <w:r w:rsidRPr="00E12355">
              <w:rPr>
                <w:rFonts w:cs="Arial"/>
                <w:b/>
                <w:bCs/>
                <w:sz w:val="22"/>
                <w:szCs w:val="22"/>
                <w:lang w:val="en-GB" w:eastAsia="en-GB"/>
              </w:rPr>
              <w:t>Expenditure: Central and Support Services</w:t>
            </w:r>
          </w:p>
        </w:tc>
        <w:tc>
          <w:tcPr>
            <w:tcW w:w="1180" w:type="dxa"/>
            <w:tcBorders>
              <w:top w:val="nil"/>
              <w:left w:val="nil"/>
              <w:bottom w:val="single" w:sz="4" w:space="0" w:color="auto"/>
              <w:right w:val="single" w:sz="4" w:space="0" w:color="auto"/>
            </w:tcBorders>
            <w:shd w:val="clear" w:color="auto" w:fill="8DB3E2"/>
            <w:noWrap/>
            <w:vAlign w:val="bottom"/>
            <w:hideMark/>
          </w:tcPr>
          <w:p w:rsidR="00E12355" w:rsidRPr="00E12355" w:rsidRDefault="00E12355" w:rsidP="00E12355">
            <w:pPr>
              <w:overflowPunct/>
              <w:autoSpaceDE/>
              <w:autoSpaceDN/>
              <w:adjustRightInd/>
              <w:textAlignment w:val="auto"/>
              <w:rPr>
                <w:rFonts w:cs="Arial"/>
                <w:sz w:val="22"/>
                <w:szCs w:val="22"/>
                <w:lang w:val="en-GB" w:eastAsia="en-GB"/>
              </w:rPr>
            </w:pPr>
            <w:r w:rsidRPr="00E12355">
              <w:rPr>
                <w:rFonts w:cs="Arial"/>
                <w:sz w:val="22"/>
                <w:szCs w:val="22"/>
                <w:lang w:val="en-GB" w:eastAsia="en-GB"/>
              </w:rPr>
              <w:t> </w:t>
            </w:r>
          </w:p>
        </w:tc>
        <w:tc>
          <w:tcPr>
            <w:tcW w:w="1180" w:type="dxa"/>
            <w:tcBorders>
              <w:top w:val="nil"/>
              <w:left w:val="nil"/>
              <w:bottom w:val="single" w:sz="4" w:space="0" w:color="auto"/>
              <w:right w:val="single" w:sz="4" w:space="0" w:color="auto"/>
            </w:tcBorders>
            <w:shd w:val="clear" w:color="auto" w:fill="8DB3E2"/>
            <w:noWrap/>
            <w:vAlign w:val="bottom"/>
            <w:hideMark/>
          </w:tcPr>
          <w:p w:rsidR="00E12355" w:rsidRPr="00E12355" w:rsidRDefault="00E12355" w:rsidP="00E12355">
            <w:pPr>
              <w:overflowPunct/>
              <w:autoSpaceDE/>
              <w:autoSpaceDN/>
              <w:adjustRightInd/>
              <w:textAlignment w:val="auto"/>
              <w:rPr>
                <w:rFonts w:cs="Arial"/>
                <w:sz w:val="22"/>
                <w:szCs w:val="22"/>
                <w:lang w:val="en-GB" w:eastAsia="en-GB"/>
              </w:rPr>
            </w:pPr>
            <w:r w:rsidRPr="00E12355">
              <w:rPr>
                <w:rFonts w:cs="Arial"/>
                <w:sz w:val="22"/>
                <w:szCs w:val="22"/>
                <w:lang w:val="en-GB" w:eastAsia="en-GB"/>
              </w:rPr>
              <w:t> </w:t>
            </w:r>
          </w:p>
        </w:tc>
        <w:tc>
          <w:tcPr>
            <w:tcW w:w="1180" w:type="dxa"/>
            <w:tcBorders>
              <w:top w:val="nil"/>
              <w:left w:val="nil"/>
              <w:bottom w:val="single" w:sz="4" w:space="0" w:color="auto"/>
              <w:right w:val="single" w:sz="4" w:space="0" w:color="auto"/>
            </w:tcBorders>
            <w:shd w:val="clear" w:color="auto" w:fill="8DB3E2"/>
            <w:noWrap/>
            <w:vAlign w:val="bottom"/>
            <w:hideMark/>
          </w:tcPr>
          <w:p w:rsidR="00E12355" w:rsidRPr="00E12355" w:rsidRDefault="00E12355" w:rsidP="00E12355">
            <w:pPr>
              <w:overflowPunct/>
              <w:autoSpaceDE/>
              <w:autoSpaceDN/>
              <w:adjustRightInd/>
              <w:textAlignment w:val="auto"/>
              <w:rPr>
                <w:rFonts w:cs="Arial"/>
                <w:sz w:val="22"/>
                <w:szCs w:val="22"/>
                <w:lang w:val="en-GB" w:eastAsia="en-GB"/>
              </w:rPr>
            </w:pPr>
            <w:r w:rsidRPr="00E12355">
              <w:rPr>
                <w:rFonts w:cs="Arial"/>
                <w:sz w:val="22"/>
                <w:szCs w:val="22"/>
                <w:lang w:val="en-GB" w:eastAsia="en-GB"/>
              </w:rPr>
              <w:t> </w:t>
            </w:r>
          </w:p>
        </w:tc>
        <w:tc>
          <w:tcPr>
            <w:tcW w:w="1180" w:type="dxa"/>
            <w:tcBorders>
              <w:top w:val="nil"/>
              <w:left w:val="nil"/>
              <w:bottom w:val="single" w:sz="4" w:space="0" w:color="auto"/>
              <w:right w:val="single" w:sz="4" w:space="0" w:color="auto"/>
            </w:tcBorders>
            <w:shd w:val="clear" w:color="auto" w:fill="8DB3E2"/>
            <w:noWrap/>
            <w:vAlign w:val="bottom"/>
            <w:hideMark/>
          </w:tcPr>
          <w:p w:rsidR="00E12355" w:rsidRPr="00E12355" w:rsidRDefault="00E12355" w:rsidP="00E12355">
            <w:pPr>
              <w:overflowPunct/>
              <w:autoSpaceDE/>
              <w:autoSpaceDN/>
              <w:adjustRightInd/>
              <w:textAlignment w:val="auto"/>
              <w:rPr>
                <w:rFonts w:cs="Arial"/>
                <w:sz w:val="22"/>
                <w:szCs w:val="22"/>
                <w:lang w:val="en-GB" w:eastAsia="en-GB"/>
              </w:rPr>
            </w:pPr>
            <w:r w:rsidRPr="00E12355">
              <w:rPr>
                <w:rFonts w:cs="Arial"/>
                <w:sz w:val="22"/>
                <w:szCs w:val="22"/>
                <w:lang w:val="en-GB" w:eastAsia="en-GB"/>
              </w:rPr>
              <w:t> </w:t>
            </w:r>
          </w:p>
        </w:tc>
      </w:tr>
      <w:tr w:rsidR="00E12355" w:rsidRPr="00E12355" w:rsidTr="00E12355">
        <w:trPr>
          <w:trHeight w:val="571"/>
        </w:trPr>
        <w:tc>
          <w:tcPr>
            <w:tcW w:w="4400" w:type="dxa"/>
            <w:tcBorders>
              <w:top w:val="nil"/>
              <w:left w:val="single" w:sz="4" w:space="0" w:color="auto"/>
              <w:bottom w:val="single" w:sz="4" w:space="0" w:color="auto"/>
              <w:right w:val="single" w:sz="4" w:space="0" w:color="auto"/>
            </w:tcBorders>
            <w:shd w:val="clear" w:color="000000" w:fill="FFFFFF"/>
            <w:vAlign w:val="bottom"/>
            <w:hideMark/>
          </w:tcPr>
          <w:p w:rsidR="00E12355" w:rsidRPr="00E12355" w:rsidRDefault="00E12355" w:rsidP="00E12355">
            <w:pPr>
              <w:overflowPunct/>
              <w:autoSpaceDE/>
              <w:autoSpaceDN/>
              <w:adjustRightInd/>
              <w:textAlignment w:val="auto"/>
              <w:rPr>
                <w:rFonts w:cs="Arial"/>
                <w:sz w:val="22"/>
                <w:szCs w:val="22"/>
                <w:lang w:val="en-GB" w:eastAsia="en-GB"/>
              </w:rPr>
            </w:pPr>
            <w:r w:rsidRPr="00E12355">
              <w:rPr>
                <w:rFonts w:cs="Arial"/>
                <w:sz w:val="22"/>
                <w:szCs w:val="22"/>
                <w:lang w:val="en-GB" w:eastAsia="en-GB"/>
              </w:rPr>
              <w:t>Public Health Advice (including Salary costs) 6% vacancy factor built in for 14/15 onwards</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color w:val="000000"/>
                <w:sz w:val="22"/>
                <w:szCs w:val="22"/>
                <w:lang w:val="en-GB"/>
              </w:rPr>
            </w:pPr>
            <w:r w:rsidRPr="00E12355">
              <w:rPr>
                <w:rFonts w:cs="Arial"/>
                <w:color w:val="000000"/>
                <w:sz w:val="22"/>
                <w:szCs w:val="22"/>
                <w:lang w:val="en-GB"/>
              </w:rPr>
              <w:t xml:space="preserve">1,211 </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color w:val="000000"/>
                <w:sz w:val="22"/>
                <w:szCs w:val="22"/>
                <w:lang w:val="en-GB"/>
              </w:rPr>
            </w:pPr>
            <w:r w:rsidRPr="00E12355">
              <w:rPr>
                <w:rFonts w:cs="Arial"/>
                <w:color w:val="000000"/>
                <w:sz w:val="22"/>
                <w:szCs w:val="22"/>
                <w:lang w:val="en-GB"/>
              </w:rPr>
              <w:t xml:space="preserve">1,211 </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bCs/>
                <w:color w:val="000000"/>
                <w:sz w:val="22"/>
                <w:szCs w:val="22"/>
                <w:lang w:val="en-GB"/>
              </w:rPr>
            </w:pPr>
            <w:r w:rsidRPr="00E12355">
              <w:rPr>
                <w:rFonts w:cs="Arial"/>
                <w:bCs/>
                <w:color w:val="000000"/>
                <w:sz w:val="22"/>
                <w:szCs w:val="22"/>
                <w:lang w:val="en-GB"/>
              </w:rPr>
              <w:t xml:space="preserve">1,211 </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bCs/>
                <w:color w:val="000000"/>
                <w:sz w:val="22"/>
                <w:szCs w:val="22"/>
                <w:lang w:val="en-GB"/>
              </w:rPr>
            </w:pPr>
            <w:r w:rsidRPr="00E12355">
              <w:rPr>
                <w:rFonts w:cs="Arial"/>
                <w:bCs/>
                <w:color w:val="000000"/>
                <w:sz w:val="22"/>
                <w:szCs w:val="22"/>
                <w:lang w:val="en-GB"/>
              </w:rPr>
              <w:t xml:space="preserve">1,211 </w:t>
            </w:r>
          </w:p>
        </w:tc>
      </w:tr>
      <w:tr w:rsidR="00E12355" w:rsidRPr="00E12355" w:rsidTr="00E12355">
        <w:trPr>
          <w:trHeight w:val="300"/>
        </w:trPr>
        <w:tc>
          <w:tcPr>
            <w:tcW w:w="4400" w:type="dxa"/>
            <w:tcBorders>
              <w:top w:val="nil"/>
              <w:left w:val="single" w:sz="4" w:space="0" w:color="auto"/>
              <w:bottom w:val="single" w:sz="4" w:space="0" w:color="auto"/>
              <w:right w:val="single" w:sz="4" w:space="0" w:color="auto"/>
            </w:tcBorders>
            <w:shd w:val="clear" w:color="000000" w:fill="FFFFFF"/>
            <w:vAlign w:val="bottom"/>
            <w:hideMark/>
          </w:tcPr>
          <w:p w:rsidR="00E12355" w:rsidRPr="00E12355" w:rsidRDefault="00E12355" w:rsidP="00E12355">
            <w:pPr>
              <w:overflowPunct/>
              <w:autoSpaceDE/>
              <w:autoSpaceDN/>
              <w:adjustRightInd/>
              <w:textAlignment w:val="auto"/>
              <w:rPr>
                <w:rFonts w:cs="Arial"/>
                <w:sz w:val="22"/>
                <w:szCs w:val="22"/>
                <w:lang w:val="en-GB" w:eastAsia="en-GB"/>
              </w:rPr>
            </w:pPr>
            <w:r w:rsidRPr="00E12355">
              <w:rPr>
                <w:rFonts w:cs="Arial"/>
                <w:sz w:val="22"/>
                <w:szCs w:val="22"/>
                <w:lang w:val="en-GB" w:eastAsia="en-GB"/>
              </w:rPr>
              <w:t>ear marked reserve (parked cut)</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sz w:val="22"/>
                <w:szCs w:val="22"/>
                <w:lang w:val="en-GB"/>
              </w:rPr>
            </w:pPr>
            <w:r w:rsidRPr="00E12355">
              <w:rPr>
                <w:rFonts w:cs="Arial"/>
                <w:sz w:val="22"/>
                <w:szCs w:val="22"/>
                <w:lang w:val="en-GB"/>
              </w:rPr>
              <w:t xml:space="preserve">-273 </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color w:val="000000"/>
                <w:sz w:val="22"/>
                <w:szCs w:val="22"/>
                <w:lang w:val="en-GB"/>
              </w:rPr>
            </w:pPr>
            <w:r w:rsidRPr="00E12355">
              <w:rPr>
                <w:rFonts w:cs="Arial"/>
                <w:color w:val="000000"/>
                <w:sz w:val="22"/>
                <w:szCs w:val="22"/>
                <w:lang w:val="en-GB"/>
              </w:rPr>
              <w:t xml:space="preserve">0 </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color w:val="000000"/>
                <w:sz w:val="22"/>
                <w:szCs w:val="22"/>
                <w:lang w:val="en-GB"/>
              </w:rPr>
            </w:pPr>
            <w:r w:rsidRPr="00E12355">
              <w:rPr>
                <w:rFonts w:cs="Arial"/>
                <w:color w:val="000000"/>
                <w:sz w:val="22"/>
                <w:szCs w:val="22"/>
                <w:lang w:val="en-GB"/>
              </w:rPr>
              <w:t xml:space="preserve">0 </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color w:val="000000"/>
                <w:sz w:val="22"/>
                <w:szCs w:val="22"/>
                <w:lang w:val="en-GB"/>
              </w:rPr>
            </w:pPr>
            <w:r w:rsidRPr="00E12355">
              <w:rPr>
                <w:rFonts w:cs="Arial"/>
                <w:color w:val="000000"/>
                <w:sz w:val="22"/>
                <w:szCs w:val="22"/>
                <w:lang w:val="en-GB"/>
              </w:rPr>
              <w:t xml:space="preserve">0 </w:t>
            </w:r>
          </w:p>
        </w:tc>
      </w:tr>
      <w:tr w:rsidR="00E12355" w:rsidRPr="00E12355" w:rsidTr="00E12355">
        <w:trPr>
          <w:trHeight w:val="300"/>
        </w:trPr>
        <w:tc>
          <w:tcPr>
            <w:tcW w:w="4400" w:type="dxa"/>
            <w:tcBorders>
              <w:top w:val="nil"/>
              <w:left w:val="single" w:sz="4" w:space="0" w:color="auto"/>
              <w:bottom w:val="single" w:sz="4" w:space="0" w:color="auto"/>
              <w:right w:val="single" w:sz="4" w:space="0" w:color="auto"/>
            </w:tcBorders>
            <w:shd w:val="clear" w:color="000000" w:fill="FFFFFF"/>
            <w:vAlign w:val="bottom"/>
            <w:hideMark/>
          </w:tcPr>
          <w:p w:rsidR="00E12355" w:rsidRPr="00E12355" w:rsidRDefault="00E12355" w:rsidP="00E12355">
            <w:pPr>
              <w:overflowPunct/>
              <w:autoSpaceDE/>
              <w:autoSpaceDN/>
              <w:adjustRightInd/>
              <w:textAlignment w:val="auto"/>
              <w:rPr>
                <w:rFonts w:cs="Arial"/>
                <w:sz w:val="22"/>
                <w:szCs w:val="22"/>
                <w:lang w:val="en-GB" w:eastAsia="en-GB"/>
              </w:rPr>
            </w:pPr>
            <w:r w:rsidRPr="00E12355">
              <w:rPr>
                <w:rFonts w:cs="Arial"/>
                <w:sz w:val="22"/>
                <w:szCs w:val="22"/>
                <w:lang w:val="en-GB" w:eastAsia="en-GB"/>
              </w:rPr>
              <w:t>Support services</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color w:val="000000"/>
                <w:sz w:val="22"/>
                <w:szCs w:val="22"/>
                <w:lang w:val="en-GB"/>
              </w:rPr>
            </w:pPr>
            <w:r w:rsidRPr="00E12355">
              <w:rPr>
                <w:rFonts w:cs="Arial"/>
                <w:color w:val="000000"/>
                <w:sz w:val="22"/>
                <w:szCs w:val="22"/>
                <w:lang w:val="en-GB"/>
              </w:rPr>
              <w:t xml:space="preserve">353 </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color w:val="000000"/>
                <w:sz w:val="22"/>
                <w:szCs w:val="22"/>
                <w:lang w:val="en-GB"/>
              </w:rPr>
            </w:pPr>
            <w:r w:rsidRPr="00E12355">
              <w:rPr>
                <w:rFonts w:cs="Arial"/>
                <w:color w:val="000000"/>
                <w:sz w:val="22"/>
                <w:szCs w:val="22"/>
                <w:lang w:val="en-GB"/>
              </w:rPr>
              <w:t xml:space="preserve">354 </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color w:val="000000"/>
                <w:sz w:val="22"/>
                <w:szCs w:val="22"/>
                <w:lang w:val="en-GB"/>
              </w:rPr>
            </w:pPr>
            <w:r w:rsidRPr="00E12355">
              <w:rPr>
                <w:rFonts w:cs="Arial"/>
                <w:color w:val="000000"/>
                <w:sz w:val="22"/>
                <w:szCs w:val="22"/>
                <w:lang w:val="en-GB"/>
              </w:rPr>
              <w:t xml:space="preserve">357 </w:t>
            </w:r>
          </w:p>
        </w:tc>
        <w:tc>
          <w:tcPr>
            <w:tcW w:w="1180" w:type="dxa"/>
            <w:tcBorders>
              <w:top w:val="nil"/>
              <w:left w:val="nil"/>
              <w:bottom w:val="single" w:sz="4" w:space="0" w:color="auto"/>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color w:val="000000"/>
                <w:sz w:val="22"/>
                <w:szCs w:val="22"/>
                <w:lang w:val="en-GB"/>
              </w:rPr>
            </w:pPr>
            <w:r w:rsidRPr="00E12355">
              <w:rPr>
                <w:rFonts w:cs="Arial"/>
                <w:color w:val="000000"/>
                <w:sz w:val="22"/>
                <w:szCs w:val="22"/>
                <w:lang w:val="en-GB"/>
              </w:rPr>
              <w:t xml:space="preserve">357 </w:t>
            </w:r>
          </w:p>
        </w:tc>
      </w:tr>
      <w:tr w:rsidR="00E12355" w:rsidRPr="00E12355" w:rsidTr="00E12355">
        <w:trPr>
          <w:trHeight w:val="363"/>
        </w:trPr>
        <w:tc>
          <w:tcPr>
            <w:tcW w:w="4400" w:type="dxa"/>
            <w:tcBorders>
              <w:top w:val="nil"/>
              <w:left w:val="single" w:sz="4" w:space="0" w:color="auto"/>
              <w:right w:val="single" w:sz="4" w:space="0" w:color="auto"/>
            </w:tcBorders>
            <w:shd w:val="clear" w:color="000000" w:fill="FFFFFF"/>
            <w:vAlign w:val="bottom"/>
            <w:hideMark/>
          </w:tcPr>
          <w:p w:rsidR="00E12355" w:rsidRPr="00E12355" w:rsidRDefault="00E12355" w:rsidP="00E12355">
            <w:pPr>
              <w:overflowPunct/>
              <w:autoSpaceDE/>
              <w:autoSpaceDN/>
              <w:adjustRightInd/>
              <w:textAlignment w:val="auto"/>
              <w:rPr>
                <w:rFonts w:cs="Arial"/>
                <w:sz w:val="22"/>
                <w:szCs w:val="22"/>
                <w:lang w:val="en-GB" w:eastAsia="en-GB"/>
              </w:rPr>
            </w:pPr>
            <w:r w:rsidRPr="00E12355">
              <w:rPr>
                <w:rFonts w:cs="Arial"/>
                <w:sz w:val="22"/>
                <w:szCs w:val="22"/>
                <w:lang w:val="en-GB" w:eastAsia="en-GB"/>
              </w:rPr>
              <w:t>Sub-total Central and Support Services</w:t>
            </w:r>
          </w:p>
        </w:tc>
        <w:tc>
          <w:tcPr>
            <w:tcW w:w="1180" w:type="dxa"/>
            <w:tcBorders>
              <w:top w:val="nil"/>
              <w:left w:val="nil"/>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b/>
                <w:bCs/>
                <w:color w:val="000000"/>
                <w:sz w:val="22"/>
                <w:szCs w:val="22"/>
                <w:lang w:val="en-GB"/>
              </w:rPr>
            </w:pPr>
            <w:r w:rsidRPr="00E12355">
              <w:rPr>
                <w:rFonts w:cs="Arial"/>
                <w:b/>
                <w:bCs/>
                <w:color w:val="000000"/>
                <w:sz w:val="22"/>
                <w:szCs w:val="22"/>
                <w:lang w:val="en-GB"/>
              </w:rPr>
              <w:t xml:space="preserve">1,291 </w:t>
            </w:r>
          </w:p>
        </w:tc>
        <w:tc>
          <w:tcPr>
            <w:tcW w:w="1180" w:type="dxa"/>
            <w:tcBorders>
              <w:top w:val="nil"/>
              <w:left w:val="nil"/>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b/>
                <w:bCs/>
                <w:color w:val="000000"/>
                <w:sz w:val="22"/>
                <w:szCs w:val="22"/>
                <w:lang w:val="en-GB"/>
              </w:rPr>
            </w:pPr>
            <w:r w:rsidRPr="00E12355">
              <w:rPr>
                <w:rFonts w:cs="Arial"/>
                <w:b/>
                <w:bCs/>
                <w:color w:val="000000"/>
                <w:sz w:val="22"/>
                <w:szCs w:val="22"/>
                <w:lang w:val="en-GB"/>
              </w:rPr>
              <w:t xml:space="preserve">1,565 </w:t>
            </w:r>
          </w:p>
        </w:tc>
        <w:tc>
          <w:tcPr>
            <w:tcW w:w="1180" w:type="dxa"/>
            <w:tcBorders>
              <w:top w:val="nil"/>
              <w:left w:val="nil"/>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b/>
                <w:bCs/>
                <w:color w:val="000000"/>
                <w:sz w:val="22"/>
                <w:szCs w:val="22"/>
                <w:lang w:val="en-GB"/>
              </w:rPr>
            </w:pPr>
            <w:r w:rsidRPr="00E12355">
              <w:rPr>
                <w:rFonts w:cs="Arial"/>
                <w:b/>
                <w:bCs/>
                <w:color w:val="000000"/>
                <w:sz w:val="22"/>
                <w:szCs w:val="22"/>
                <w:lang w:val="en-GB"/>
              </w:rPr>
              <w:t xml:space="preserve">1,568 </w:t>
            </w:r>
          </w:p>
        </w:tc>
        <w:tc>
          <w:tcPr>
            <w:tcW w:w="1180" w:type="dxa"/>
            <w:tcBorders>
              <w:top w:val="nil"/>
              <w:left w:val="nil"/>
              <w:right w:val="single" w:sz="4" w:space="0" w:color="auto"/>
            </w:tcBorders>
            <w:shd w:val="clear" w:color="auto" w:fill="auto"/>
            <w:noWrap/>
            <w:vAlign w:val="bottom"/>
            <w:hideMark/>
          </w:tcPr>
          <w:p w:rsidR="00E12355" w:rsidRPr="00E12355" w:rsidRDefault="00E12355" w:rsidP="00E12355">
            <w:pPr>
              <w:overflowPunct/>
              <w:autoSpaceDE/>
              <w:autoSpaceDN/>
              <w:adjustRightInd/>
              <w:jc w:val="right"/>
              <w:textAlignment w:val="auto"/>
              <w:rPr>
                <w:rFonts w:cs="Arial"/>
                <w:b/>
                <w:bCs/>
                <w:color w:val="000000"/>
                <w:sz w:val="22"/>
                <w:szCs w:val="22"/>
                <w:lang w:val="en-GB"/>
              </w:rPr>
            </w:pPr>
            <w:r w:rsidRPr="00E12355">
              <w:rPr>
                <w:rFonts w:cs="Arial"/>
                <w:b/>
                <w:bCs/>
                <w:color w:val="000000"/>
                <w:sz w:val="22"/>
                <w:szCs w:val="22"/>
                <w:lang w:val="en-GB"/>
              </w:rPr>
              <w:t xml:space="preserve">1,568 </w:t>
            </w:r>
          </w:p>
        </w:tc>
      </w:tr>
      <w:tr w:rsidR="00E12355" w:rsidRPr="00E12355" w:rsidTr="00E12355">
        <w:trPr>
          <w:trHeight w:val="306"/>
        </w:trPr>
        <w:tc>
          <w:tcPr>
            <w:tcW w:w="4400" w:type="dxa"/>
            <w:tcBorders>
              <w:top w:val="nil"/>
              <w:left w:val="single" w:sz="4" w:space="0" w:color="auto"/>
              <w:bottom w:val="nil"/>
              <w:right w:val="single" w:sz="4" w:space="0" w:color="auto"/>
            </w:tcBorders>
            <w:shd w:val="clear" w:color="auto" w:fill="95B3D7"/>
            <w:vAlign w:val="bottom"/>
          </w:tcPr>
          <w:p w:rsidR="00E12355" w:rsidRPr="00E12355" w:rsidRDefault="00E12355" w:rsidP="00E12355">
            <w:pPr>
              <w:overflowPunct/>
              <w:autoSpaceDE/>
              <w:autoSpaceDN/>
              <w:adjustRightInd/>
              <w:textAlignment w:val="auto"/>
              <w:rPr>
                <w:rFonts w:cs="Arial"/>
                <w:sz w:val="22"/>
                <w:szCs w:val="22"/>
                <w:lang w:val="en-GB" w:eastAsia="en-GB"/>
              </w:rPr>
            </w:pPr>
            <w:r w:rsidRPr="00E12355">
              <w:rPr>
                <w:rFonts w:cs="Arial"/>
                <w:b/>
                <w:bCs/>
                <w:sz w:val="22"/>
                <w:szCs w:val="22"/>
                <w:lang w:val="en-GB" w:eastAsia="en-GB"/>
              </w:rPr>
              <w:t>Expenditure (wider determinants)</w:t>
            </w:r>
          </w:p>
        </w:tc>
        <w:tc>
          <w:tcPr>
            <w:tcW w:w="1180" w:type="dxa"/>
            <w:tcBorders>
              <w:top w:val="nil"/>
              <w:left w:val="nil"/>
              <w:bottom w:val="nil"/>
              <w:right w:val="single" w:sz="4" w:space="0" w:color="auto"/>
            </w:tcBorders>
            <w:shd w:val="clear" w:color="auto" w:fill="95B3D7"/>
            <w:noWrap/>
            <w:vAlign w:val="bottom"/>
          </w:tcPr>
          <w:p w:rsidR="00E12355" w:rsidRPr="00E12355" w:rsidRDefault="00E12355" w:rsidP="00E12355">
            <w:pPr>
              <w:overflowPunct/>
              <w:autoSpaceDE/>
              <w:autoSpaceDN/>
              <w:adjustRightInd/>
              <w:jc w:val="right"/>
              <w:textAlignment w:val="auto"/>
              <w:rPr>
                <w:rFonts w:cs="Arial"/>
                <w:b/>
                <w:bCs/>
                <w:color w:val="000000"/>
                <w:sz w:val="22"/>
                <w:szCs w:val="22"/>
                <w:lang w:val="en-GB"/>
              </w:rPr>
            </w:pPr>
          </w:p>
        </w:tc>
        <w:tc>
          <w:tcPr>
            <w:tcW w:w="1180" w:type="dxa"/>
            <w:tcBorders>
              <w:top w:val="nil"/>
              <w:left w:val="nil"/>
              <w:bottom w:val="nil"/>
              <w:right w:val="single" w:sz="4" w:space="0" w:color="auto"/>
            </w:tcBorders>
            <w:shd w:val="clear" w:color="auto" w:fill="95B3D7"/>
            <w:noWrap/>
            <w:vAlign w:val="bottom"/>
          </w:tcPr>
          <w:p w:rsidR="00E12355" w:rsidRPr="00E12355" w:rsidRDefault="00E12355" w:rsidP="00E12355">
            <w:pPr>
              <w:overflowPunct/>
              <w:autoSpaceDE/>
              <w:autoSpaceDN/>
              <w:adjustRightInd/>
              <w:jc w:val="right"/>
              <w:textAlignment w:val="auto"/>
              <w:rPr>
                <w:rFonts w:cs="Arial"/>
                <w:b/>
                <w:bCs/>
                <w:color w:val="000000"/>
                <w:sz w:val="22"/>
                <w:szCs w:val="22"/>
                <w:lang w:val="en-GB"/>
              </w:rPr>
            </w:pPr>
          </w:p>
        </w:tc>
        <w:tc>
          <w:tcPr>
            <w:tcW w:w="1180" w:type="dxa"/>
            <w:tcBorders>
              <w:top w:val="nil"/>
              <w:left w:val="nil"/>
              <w:bottom w:val="nil"/>
              <w:right w:val="single" w:sz="4" w:space="0" w:color="auto"/>
            </w:tcBorders>
            <w:shd w:val="clear" w:color="auto" w:fill="95B3D7"/>
            <w:noWrap/>
            <w:vAlign w:val="bottom"/>
          </w:tcPr>
          <w:p w:rsidR="00E12355" w:rsidRPr="00E12355" w:rsidRDefault="00E12355" w:rsidP="00E12355">
            <w:pPr>
              <w:overflowPunct/>
              <w:autoSpaceDE/>
              <w:autoSpaceDN/>
              <w:adjustRightInd/>
              <w:jc w:val="right"/>
              <w:textAlignment w:val="auto"/>
              <w:rPr>
                <w:rFonts w:cs="Arial"/>
                <w:b/>
                <w:bCs/>
                <w:color w:val="000000"/>
                <w:sz w:val="22"/>
                <w:szCs w:val="22"/>
                <w:lang w:val="en-GB"/>
              </w:rPr>
            </w:pPr>
          </w:p>
        </w:tc>
        <w:tc>
          <w:tcPr>
            <w:tcW w:w="1180" w:type="dxa"/>
            <w:tcBorders>
              <w:top w:val="nil"/>
              <w:left w:val="nil"/>
              <w:bottom w:val="nil"/>
              <w:right w:val="single" w:sz="4" w:space="0" w:color="auto"/>
            </w:tcBorders>
            <w:shd w:val="clear" w:color="auto" w:fill="95B3D7"/>
            <w:noWrap/>
            <w:vAlign w:val="bottom"/>
          </w:tcPr>
          <w:p w:rsidR="00E12355" w:rsidRPr="00E12355" w:rsidRDefault="00E12355" w:rsidP="00E12355">
            <w:pPr>
              <w:overflowPunct/>
              <w:autoSpaceDE/>
              <w:autoSpaceDN/>
              <w:adjustRightInd/>
              <w:jc w:val="right"/>
              <w:textAlignment w:val="auto"/>
              <w:rPr>
                <w:rFonts w:cs="Arial"/>
                <w:b/>
                <w:bCs/>
                <w:color w:val="000000"/>
                <w:sz w:val="22"/>
                <w:szCs w:val="22"/>
                <w:lang w:val="en-GB"/>
              </w:rPr>
            </w:pPr>
          </w:p>
        </w:tc>
      </w:tr>
      <w:tr w:rsidR="00E12355" w:rsidRPr="00E12355" w:rsidTr="00E12355">
        <w:trPr>
          <w:trHeight w:val="363"/>
        </w:trPr>
        <w:tc>
          <w:tcPr>
            <w:tcW w:w="4400" w:type="dxa"/>
            <w:tcBorders>
              <w:top w:val="nil"/>
              <w:left w:val="single" w:sz="4" w:space="0" w:color="auto"/>
              <w:bottom w:val="nil"/>
              <w:right w:val="single" w:sz="4" w:space="0" w:color="auto"/>
            </w:tcBorders>
            <w:shd w:val="clear" w:color="000000" w:fill="FFFFFF"/>
            <w:vAlign w:val="bottom"/>
          </w:tcPr>
          <w:p w:rsidR="00E12355" w:rsidRPr="00E12355" w:rsidRDefault="00E12355" w:rsidP="00E12355">
            <w:pPr>
              <w:overflowPunct/>
              <w:autoSpaceDE/>
              <w:autoSpaceDN/>
              <w:adjustRightInd/>
              <w:textAlignment w:val="auto"/>
              <w:rPr>
                <w:rFonts w:cs="Arial"/>
                <w:sz w:val="22"/>
                <w:szCs w:val="22"/>
                <w:lang w:val="en-GB" w:eastAsia="en-GB"/>
              </w:rPr>
            </w:pPr>
            <w:r w:rsidRPr="00E12355">
              <w:rPr>
                <w:rFonts w:cs="Arial"/>
                <w:sz w:val="22"/>
                <w:szCs w:val="22"/>
                <w:lang w:val="en-GB" w:eastAsia="en-GB"/>
              </w:rPr>
              <w:t>Realignment</w:t>
            </w:r>
          </w:p>
        </w:tc>
        <w:tc>
          <w:tcPr>
            <w:tcW w:w="1180" w:type="dxa"/>
            <w:tcBorders>
              <w:top w:val="nil"/>
              <w:left w:val="nil"/>
              <w:bottom w:val="nil"/>
              <w:right w:val="single" w:sz="4" w:space="0" w:color="auto"/>
            </w:tcBorders>
            <w:shd w:val="clear" w:color="auto" w:fill="auto"/>
            <w:noWrap/>
            <w:vAlign w:val="bottom"/>
          </w:tcPr>
          <w:p w:rsidR="00E12355" w:rsidRPr="00E12355" w:rsidRDefault="00E12355" w:rsidP="00E12355">
            <w:pPr>
              <w:overflowPunct/>
              <w:autoSpaceDE/>
              <w:autoSpaceDN/>
              <w:adjustRightInd/>
              <w:jc w:val="right"/>
              <w:textAlignment w:val="auto"/>
              <w:rPr>
                <w:rFonts w:cs="Arial"/>
                <w:sz w:val="22"/>
                <w:szCs w:val="22"/>
                <w:lang w:val="en-GB" w:eastAsia="en-GB"/>
              </w:rPr>
            </w:pPr>
            <w:r w:rsidRPr="00E12355">
              <w:rPr>
                <w:rFonts w:cs="Arial"/>
                <w:sz w:val="22"/>
                <w:szCs w:val="22"/>
                <w:lang w:val="en-GB" w:eastAsia="en-GB"/>
              </w:rPr>
              <w:t xml:space="preserve">4,907 </w:t>
            </w:r>
          </w:p>
        </w:tc>
        <w:tc>
          <w:tcPr>
            <w:tcW w:w="1180" w:type="dxa"/>
            <w:tcBorders>
              <w:top w:val="nil"/>
              <w:left w:val="nil"/>
              <w:bottom w:val="nil"/>
              <w:right w:val="single" w:sz="4" w:space="0" w:color="auto"/>
            </w:tcBorders>
            <w:shd w:val="clear" w:color="auto" w:fill="auto"/>
            <w:noWrap/>
            <w:vAlign w:val="bottom"/>
          </w:tcPr>
          <w:p w:rsidR="00E12355" w:rsidRPr="00E12355" w:rsidRDefault="00E12355" w:rsidP="00E12355">
            <w:pPr>
              <w:overflowPunct/>
              <w:autoSpaceDE/>
              <w:autoSpaceDN/>
              <w:adjustRightInd/>
              <w:jc w:val="right"/>
              <w:textAlignment w:val="auto"/>
              <w:rPr>
                <w:rFonts w:cs="Arial"/>
                <w:sz w:val="22"/>
                <w:szCs w:val="22"/>
                <w:lang w:val="en-GB" w:eastAsia="en-GB"/>
              </w:rPr>
            </w:pPr>
            <w:r w:rsidRPr="00E12355">
              <w:rPr>
                <w:rFonts w:cs="Arial"/>
                <w:sz w:val="22"/>
                <w:szCs w:val="22"/>
                <w:lang w:val="en-GB" w:eastAsia="en-GB"/>
              </w:rPr>
              <w:t xml:space="preserve">4,907 </w:t>
            </w:r>
          </w:p>
        </w:tc>
        <w:tc>
          <w:tcPr>
            <w:tcW w:w="1180" w:type="dxa"/>
            <w:tcBorders>
              <w:top w:val="nil"/>
              <w:left w:val="nil"/>
              <w:bottom w:val="nil"/>
              <w:right w:val="single" w:sz="4" w:space="0" w:color="auto"/>
            </w:tcBorders>
            <w:shd w:val="clear" w:color="auto" w:fill="auto"/>
            <w:noWrap/>
            <w:vAlign w:val="bottom"/>
          </w:tcPr>
          <w:p w:rsidR="00E12355" w:rsidRPr="00E12355" w:rsidRDefault="00E12355" w:rsidP="00E12355">
            <w:pPr>
              <w:overflowPunct/>
              <w:autoSpaceDE/>
              <w:autoSpaceDN/>
              <w:adjustRightInd/>
              <w:jc w:val="right"/>
              <w:textAlignment w:val="auto"/>
              <w:rPr>
                <w:rFonts w:cs="Arial"/>
                <w:sz w:val="22"/>
                <w:szCs w:val="22"/>
                <w:lang w:val="en-GB" w:eastAsia="en-GB"/>
              </w:rPr>
            </w:pPr>
            <w:r w:rsidRPr="00E12355">
              <w:rPr>
                <w:rFonts w:cs="Arial"/>
                <w:sz w:val="22"/>
                <w:szCs w:val="22"/>
                <w:lang w:val="en-GB" w:eastAsia="en-GB"/>
              </w:rPr>
              <w:t xml:space="preserve">4,907 </w:t>
            </w:r>
          </w:p>
        </w:tc>
        <w:tc>
          <w:tcPr>
            <w:tcW w:w="1180" w:type="dxa"/>
            <w:tcBorders>
              <w:top w:val="nil"/>
              <w:left w:val="nil"/>
              <w:bottom w:val="nil"/>
              <w:right w:val="single" w:sz="4" w:space="0" w:color="auto"/>
            </w:tcBorders>
            <w:shd w:val="clear" w:color="auto" w:fill="auto"/>
            <w:noWrap/>
            <w:vAlign w:val="bottom"/>
          </w:tcPr>
          <w:p w:rsidR="00E12355" w:rsidRPr="00E12355" w:rsidRDefault="00E12355" w:rsidP="00E12355">
            <w:pPr>
              <w:overflowPunct/>
              <w:autoSpaceDE/>
              <w:autoSpaceDN/>
              <w:adjustRightInd/>
              <w:jc w:val="right"/>
              <w:textAlignment w:val="auto"/>
              <w:rPr>
                <w:rFonts w:cs="Arial"/>
                <w:sz w:val="22"/>
                <w:szCs w:val="22"/>
                <w:lang w:val="en-GB" w:eastAsia="en-GB"/>
              </w:rPr>
            </w:pPr>
            <w:r w:rsidRPr="00E12355">
              <w:rPr>
                <w:rFonts w:cs="Arial"/>
                <w:sz w:val="22"/>
                <w:szCs w:val="22"/>
                <w:lang w:val="en-GB" w:eastAsia="en-GB"/>
              </w:rPr>
              <w:t xml:space="preserve">4,907 </w:t>
            </w:r>
          </w:p>
        </w:tc>
      </w:tr>
      <w:tr w:rsidR="00E12355" w:rsidRPr="00E12355" w:rsidTr="00E12355">
        <w:trPr>
          <w:trHeight w:val="363"/>
        </w:trPr>
        <w:tc>
          <w:tcPr>
            <w:tcW w:w="4400" w:type="dxa"/>
            <w:tcBorders>
              <w:top w:val="nil"/>
              <w:left w:val="single" w:sz="4" w:space="0" w:color="auto"/>
              <w:bottom w:val="nil"/>
              <w:right w:val="single" w:sz="4" w:space="0" w:color="auto"/>
            </w:tcBorders>
            <w:shd w:val="clear" w:color="000000" w:fill="FFFFFF"/>
            <w:vAlign w:val="bottom"/>
          </w:tcPr>
          <w:p w:rsidR="00E12355" w:rsidRPr="00E12355" w:rsidRDefault="00E12355" w:rsidP="00E12355">
            <w:pPr>
              <w:overflowPunct/>
              <w:autoSpaceDE/>
              <w:autoSpaceDN/>
              <w:adjustRightInd/>
              <w:textAlignment w:val="auto"/>
              <w:rPr>
                <w:rFonts w:cs="Arial"/>
                <w:sz w:val="22"/>
                <w:szCs w:val="22"/>
                <w:lang w:val="en-GB" w:eastAsia="en-GB"/>
              </w:rPr>
            </w:pPr>
            <w:r w:rsidRPr="00E12355">
              <w:rPr>
                <w:rFonts w:cs="Arial"/>
                <w:sz w:val="22"/>
                <w:szCs w:val="22"/>
                <w:lang w:val="en-GB" w:eastAsia="en-GB"/>
              </w:rPr>
              <w:t>Growth</w:t>
            </w:r>
          </w:p>
        </w:tc>
        <w:tc>
          <w:tcPr>
            <w:tcW w:w="1180" w:type="dxa"/>
            <w:tcBorders>
              <w:top w:val="nil"/>
              <w:left w:val="nil"/>
              <w:bottom w:val="nil"/>
              <w:right w:val="single" w:sz="4" w:space="0" w:color="auto"/>
            </w:tcBorders>
            <w:shd w:val="clear" w:color="auto" w:fill="auto"/>
            <w:noWrap/>
            <w:vAlign w:val="bottom"/>
          </w:tcPr>
          <w:p w:rsidR="00E12355" w:rsidRPr="00E12355" w:rsidRDefault="00E12355" w:rsidP="00E12355">
            <w:pPr>
              <w:overflowPunct/>
              <w:autoSpaceDE/>
              <w:autoSpaceDN/>
              <w:adjustRightInd/>
              <w:jc w:val="right"/>
              <w:textAlignment w:val="auto"/>
              <w:rPr>
                <w:rFonts w:cs="Arial"/>
                <w:sz w:val="22"/>
                <w:szCs w:val="22"/>
                <w:lang w:val="en-GB" w:eastAsia="en-GB"/>
              </w:rPr>
            </w:pPr>
            <w:r w:rsidRPr="00E12355">
              <w:rPr>
                <w:rFonts w:cs="Arial"/>
                <w:sz w:val="22"/>
                <w:szCs w:val="22"/>
                <w:lang w:val="en-GB" w:eastAsia="en-GB"/>
              </w:rPr>
              <w:t xml:space="preserve">263 </w:t>
            </w:r>
          </w:p>
        </w:tc>
        <w:tc>
          <w:tcPr>
            <w:tcW w:w="1180" w:type="dxa"/>
            <w:tcBorders>
              <w:top w:val="nil"/>
              <w:left w:val="nil"/>
              <w:bottom w:val="nil"/>
              <w:right w:val="single" w:sz="4" w:space="0" w:color="auto"/>
            </w:tcBorders>
            <w:shd w:val="clear" w:color="auto" w:fill="auto"/>
            <w:noWrap/>
            <w:vAlign w:val="bottom"/>
          </w:tcPr>
          <w:p w:rsidR="00E12355" w:rsidRPr="00E12355" w:rsidRDefault="00E12355" w:rsidP="00E12355">
            <w:pPr>
              <w:overflowPunct/>
              <w:autoSpaceDE/>
              <w:autoSpaceDN/>
              <w:adjustRightInd/>
              <w:jc w:val="right"/>
              <w:textAlignment w:val="auto"/>
              <w:rPr>
                <w:rFonts w:cs="Arial"/>
                <w:sz w:val="22"/>
                <w:szCs w:val="22"/>
                <w:lang w:val="en-GB" w:eastAsia="en-GB"/>
              </w:rPr>
            </w:pPr>
            <w:r w:rsidRPr="00E12355">
              <w:rPr>
                <w:rFonts w:cs="Arial"/>
                <w:sz w:val="22"/>
                <w:szCs w:val="22"/>
                <w:lang w:val="en-GB" w:eastAsia="en-GB"/>
              </w:rPr>
              <w:t xml:space="preserve">263 </w:t>
            </w:r>
          </w:p>
        </w:tc>
        <w:tc>
          <w:tcPr>
            <w:tcW w:w="1180" w:type="dxa"/>
            <w:tcBorders>
              <w:top w:val="nil"/>
              <w:left w:val="nil"/>
              <w:bottom w:val="nil"/>
              <w:right w:val="single" w:sz="4" w:space="0" w:color="auto"/>
            </w:tcBorders>
            <w:shd w:val="clear" w:color="auto" w:fill="auto"/>
            <w:noWrap/>
            <w:vAlign w:val="bottom"/>
          </w:tcPr>
          <w:p w:rsidR="00E12355" w:rsidRPr="00E12355" w:rsidRDefault="00E12355" w:rsidP="00E12355">
            <w:pPr>
              <w:overflowPunct/>
              <w:autoSpaceDE/>
              <w:autoSpaceDN/>
              <w:adjustRightInd/>
              <w:jc w:val="right"/>
              <w:textAlignment w:val="auto"/>
              <w:rPr>
                <w:rFonts w:cs="Arial"/>
                <w:sz w:val="22"/>
                <w:szCs w:val="22"/>
                <w:lang w:val="en-GB" w:eastAsia="en-GB"/>
              </w:rPr>
            </w:pPr>
            <w:r w:rsidRPr="00E12355">
              <w:rPr>
                <w:rFonts w:cs="Arial"/>
                <w:sz w:val="22"/>
                <w:szCs w:val="22"/>
                <w:lang w:val="en-GB" w:eastAsia="en-GB"/>
              </w:rPr>
              <w:t xml:space="preserve">263 </w:t>
            </w:r>
          </w:p>
        </w:tc>
        <w:tc>
          <w:tcPr>
            <w:tcW w:w="1180" w:type="dxa"/>
            <w:tcBorders>
              <w:top w:val="nil"/>
              <w:left w:val="nil"/>
              <w:bottom w:val="nil"/>
              <w:right w:val="single" w:sz="4" w:space="0" w:color="auto"/>
            </w:tcBorders>
            <w:shd w:val="clear" w:color="auto" w:fill="auto"/>
            <w:noWrap/>
            <w:vAlign w:val="bottom"/>
          </w:tcPr>
          <w:p w:rsidR="00E12355" w:rsidRPr="00E12355" w:rsidRDefault="00E12355" w:rsidP="00E12355">
            <w:pPr>
              <w:overflowPunct/>
              <w:autoSpaceDE/>
              <w:autoSpaceDN/>
              <w:adjustRightInd/>
              <w:jc w:val="right"/>
              <w:textAlignment w:val="auto"/>
              <w:rPr>
                <w:rFonts w:cs="Arial"/>
                <w:sz w:val="22"/>
                <w:szCs w:val="22"/>
                <w:lang w:val="en-GB" w:eastAsia="en-GB"/>
              </w:rPr>
            </w:pPr>
            <w:r w:rsidRPr="00E12355">
              <w:rPr>
                <w:rFonts w:cs="Arial"/>
                <w:sz w:val="22"/>
                <w:szCs w:val="22"/>
                <w:lang w:val="en-GB" w:eastAsia="en-GB"/>
              </w:rPr>
              <w:t xml:space="preserve">263 </w:t>
            </w:r>
          </w:p>
        </w:tc>
      </w:tr>
      <w:tr w:rsidR="00E12355" w:rsidRPr="00E12355" w:rsidTr="00E12355">
        <w:trPr>
          <w:trHeight w:val="363"/>
        </w:trPr>
        <w:tc>
          <w:tcPr>
            <w:tcW w:w="4400" w:type="dxa"/>
            <w:tcBorders>
              <w:top w:val="nil"/>
              <w:left w:val="single" w:sz="4" w:space="0" w:color="auto"/>
              <w:right w:val="single" w:sz="4" w:space="0" w:color="auto"/>
            </w:tcBorders>
            <w:shd w:val="clear" w:color="000000" w:fill="FFFFFF"/>
            <w:vAlign w:val="bottom"/>
          </w:tcPr>
          <w:p w:rsidR="00E12355" w:rsidRPr="00E12355" w:rsidRDefault="00E12355" w:rsidP="00E12355">
            <w:pPr>
              <w:overflowPunct/>
              <w:autoSpaceDE/>
              <w:autoSpaceDN/>
              <w:adjustRightInd/>
              <w:textAlignment w:val="auto"/>
              <w:rPr>
                <w:rFonts w:cs="Arial"/>
                <w:sz w:val="22"/>
                <w:szCs w:val="22"/>
                <w:lang w:val="en-GB" w:eastAsia="en-GB"/>
              </w:rPr>
            </w:pPr>
            <w:r w:rsidRPr="00E12355">
              <w:rPr>
                <w:rFonts w:cs="Arial"/>
                <w:sz w:val="22"/>
                <w:szCs w:val="22"/>
                <w:lang w:val="en-GB" w:eastAsia="en-GB"/>
              </w:rPr>
              <w:t>Sub-total wider determinants</w:t>
            </w:r>
          </w:p>
          <w:p w:rsidR="00E12355" w:rsidRPr="00E12355" w:rsidRDefault="00E12355" w:rsidP="00E12355">
            <w:pPr>
              <w:overflowPunct/>
              <w:autoSpaceDE/>
              <w:autoSpaceDN/>
              <w:adjustRightInd/>
              <w:textAlignment w:val="auto"/>
              <w:rPr>
                <w:rFonts w:cs="Arial"/>
                <w:sz w:val="22"/>
                <w:szCs w:val="22"/>
                <w:lang w:val="en-GB" w:eastAsia="en-GB"/>
              </w:rPr>
            </w:pPr>
          </w:p>
        </w:tc>
        <w:tc>
          <w:tcPr>
            <w:tcW w:w="1180" w:type="dxa"/>
            <w:tcBorders>
              <w:top w:val="nil"/>
              <w:left w:val="nil"/>
              <w:right w:val="single" w:sz="4" w:space="0" w:color="auto"/>
            </w:tcBorders>
            <w:shd w:val="clear" w:color="auto" w:fill="auto"/>
            <w:noWrap/>
            <w:vAlign w:val="center"/>
          </w:tcPr>
          <w:p w:rsidR="00E12355" w:rsidRPr="00E12355" w:rsidRDefault="00E12355" w:rsidP="00E12355">
            <w:pPr>
              <w:overflowPunct/>
              <w:autoSpaceDE/>
              <w:autoSpaceDN/>
              <w:adjustRightInd/>
              <w:jc w:val="right"/>
              <w:textAlignment w:val="auto"/>
              <w:rPr>
                <w:rFonts w:cs="Arial"/>
                <w:b/>
                <w:sz w:val="22"/>
                <w:szCs w:val="22"/>
                <w:lang w:val="en-GB"/>
              </w:rPr>
            </w:pPr>
            <w:r w:rsidRPr="00E12355">
              <w:rPr>
                <w:rFonts w:cs="Arial"/>
                <w:b/>
                <w:sz w:val="22"/>
                <w:szCs w:val="22"/>
                <w:lang w:val="en-GB"/>
              </w:rPr>
              <w:t>5,170</w:t>
            </w:r>
          </w:p>
        </w:tc>
        <w:tc>
          <w:tcPr>
            <w:tcW w:w="1180" w:type="dxa"/>
            <w:tcBorders>
              <w:top w:val="nil"/>
              <w:left w:val="nil"/>
              <w:right w:val="single" w:sz="4" w:space="0" w:color="auto"/>
            </w:tcBorders>
            <w:shd w:val="clear" w:color="auto" w:fill="auto"/>
            <w:noWrap/>
            <w:vAlign w:val="center"/>
          </w:tcPr>
          <w:p w:rsidR="00E12355" w:rsidRPr="00E12355" w:rsidRDefault="00E12355" w:rsidP="00E12355">
            <w:pPr>
              <w:overflowPunct/>
              <w:autoSpaceDE/>
              <w:autoSpaceDN/>
              <w:adjustRightInd/>
              <w:jc w:val="right"/>
              <w:textAlignment w:val="auto"/>
              <w:rPr>
                <w:rFonts w:cs="Arial"/>
                <w:b/>
                <w:sz w:val="22"/>
                <w:szCs w:val="22"/>
                <w:lang w:val="en-GB"/>
              </w:rPr>
            </w:pPr>
            <w:r w:rsidRPr="00E12355">
              <w:rPr>
                <w:rFonts w:cs="Arial"/>
                <w:b/>
                <w:sz w:val="22"/>
                <w:szCs w:val="22"/>
                <w:lang w:val="en-GB"/>
              </w:rPr>
              <w:t>5,170</w:t>
            </w:r>
          </w:p>
        </w:tc>
        <w:tc>
          <w:tcPr>
            <w:tcW w:w="1180" w:type="dxa"/>
            <w:tcBorders>
              <w:top w:val="nil"/>
              <w:left w:val="nil"/>
              <w:right w:val="single" w:sz="4" w:space="0" w:color="auto"/>
            </w:tcBorders>
            <w:shd w:val="clear" w:color="auto" w:fill="auto"/>
            <w:noWrap/>
            <w:vAlign w:val="center"/>
          </w:tcPr>
          <w:p w:rsidR="00E12355" w:rsidRPr="00E12355" w:rsidRDefault="00E12355" w:rsidP="00E12355">
            <w:pPr>
              <w:overflowPunct/>
              <w:autoSpaceDE/>
              <w:autoSpaceDN/>
              <w:adjustRightInd/>
              <w:jc w:val="right"/>
              <w:textAlignment w:val="auto"/>
              <w:rPr>
                <w:rFonts w:cs="Arial"/>
                <w:b/>
                <w:sz w:val="22"/>
                <w:szCs w:val="22"/>
                <w:lang w:val="en-GB"/>
              </w:rPr>
            </w:pPr>
            <w:r w:rsidRPr="00E12355">
              <w:rPr>
                <w:rFonts w:cs="Arial"/>
                <w:b/>
                <w:sz w:val="22"/>
                <w:szCs w:val="22"/>
                <w:lang w:val="en-GB"/>
              </w:rPr>
              <w:t>5,170</w:t>
            </w:r>
          </w:p>
        </w:tc>
        <w:tc>
          <w:tcPr>
            <w:tcW w:w="1180" w:type="dxa"/>
            <w:tcBorders>
              <w:top w:val="nil"/>
              <w:left w:val="nil"/>
              <w:right w:val="single" w:sz="4" w:space="0" w:color="auto"/>
            </w:tcBorders>
            <w:shd w:val="clear" w:color="auto" w:fill="auto"/>
            <w:noWrap/>
            <w:vAlign w:val="center"/>
          </w:tcPr>
          <w:p w:rsidR="00E12355" w:rsidRPr="00E12355" w:rsidRDefault="00E12355" w:rsidP="00E12355">
            <w:pPr>
              <w:overflowPunct/>
              <w:autoSpaceDE/>
              <w:autoSpaceDN/>
              <w:adjustRightInd/>
              <w:jc w:val="right"/>
              <w:textAlignment w:val="auto"/>
              <w:rPr>
                <w:rFonts w:cs="Arial"/>
                <w:b/>
                <w:sz w:val="22"/>
                <w:szCs w:val="22"/>
                <w:lang w:val="en-GB"/>
              </w:rPr>
            </w:pPr>
            <w:r w:rsidRPr="00E12355">
              <w:rPr>
                <w:rFonts w:cs="Arial"/>
                <w:b/>
                <w:sz w:val="22"/>
                <w:szCs w:val="22"/>
                <w:lang w:val="en-GB"/>
              </w:rPr>
              <w:t>5,170</w:t>
            </w:r>
          </w:p>
        </w:tc>
      </w:tr>
      <w:tr w:rsidR="00E12355" w:rsidRPr="00E12355" w:rsidTr="00E12355">
        <w:trPr>
          <w:trHeight w:val="363"/>
        </w:trPr>
        <w:tc>
          <w:tcPr>
            <w:tcW w:w="4400" w:type="dxa"/>
            <w:tcBorders>
              <w:top w:val="nil"/>
              <w:left w:val="single" w:sz="4" w:space="0" w:color="auto"/>
              <w:bottom w:val="nil"/>
              <w:right w:val="single" w:sz="4" w:space="0" w:color="auto"/>
            </w:tcBorders>
            <w:shd w:val="clear" w:color="auto" w:fill="95B3D7"/>
            <w:vAlign w:val="bottom"/>
          </w:tcPr>
          <w:p w:rsidR="00E12355" w:rsidRPr="00E12355" w:rsidRDefault="00E12355" w:rsidP="00E12355">
            <w:pPr>
              <w:overflowPunct/>
              <w:autoSpaceDE/>
              <w:autoSpaceDN/>
              <w:adjustRightInd/>
              <w:textAlignment w:val="auto"/>
              <w:rPr>
                <w:rFonts w:cs="Arial"/>
                <w:b/>
                <w:bCs/>
                <w:sz w:val="22"/>
                <w:szCs w:val="22"/>
                <w:lang w:val="en-GB" w:eastAsia="en-GB"/>
              </w:rPr>
            </w:pPr>
            <w:r w:rsidRPr="00E12355">
              <w:rPr>
                <w:rFonts w:cs="Arial"/>
                <w:b/>
                <w:bCs/>
                <w:sz w:val="22"/>
                <w:szCs w:val="22"/>
                <w:lang w:val="en-GB" w:eastAsia="en-GB"/>
              </w:rPr>
              <w:t>Total Expenditure (commissioned + central &amp; support + Wider determinants)</w:t>
            </w:r>
          </w:p>
        </w:tc>
        <w:tc>
          <w:tcPr>
            <w:tcW w:w="1180" w:type="dxa"/>
            <w:tcBorders>
              <w:top w:val="nil"/>
              <w:left w:val="nil"/>
              <w:bottom w:val="nil"/>
              <w:right w:val="single" w:sz="4" w:space="0" w:color="auto"/>
            </w:tcBorders>
            <w:shd w:val="clear" w:color="auto" w:fill="95B3D7"/>
            <w:noWrap/>
            <w:vAlign w:val="bottom"/>
          </w:tcPr>
          <w:p w:rsidR="00E12355" w:rsidRPr="00E12355" w:rsidRDefault="00E12355" w:rsidP="00E12355">
            <w:pPr>
              <w:overflowPunct/>
              <w:autoSpaceDE/>
              <w:autoSpaceDN/>
              <w:adjustRightInd/>
              <w:jc w:val="right"/>
              <w:textAlignment w:val="auto"/>
              <w:rPr>
                <w:rFonts w:cs="Arial"/>
                <w:b/>
                <w:bCs/>
                <w:color w:val="000000"/>
                <w:sz w:val="22"/>
                <w:szCs w:val="22"/>
                <w:lang w:val="en-GB"/>
              </w:rPr>
            </w:pPr>
            <w:r w:rsidRPr="00E12355">
              <w:rPr>
                <w:rFonts w:cs="Arial"/>
                <w:b/>
                <w:bCs/>
                <w:color w:val="000000"/>
                <w:sz w:val="22"/>
                <w:szCs w:val="22"/>
                <w:lang w:val="en-GB"/>
              </w:rPr>
              <w:t xml:space="preserve">24,965 </w:t>
            </w:r>
          </w:p>
        </w:tc>
        <w:tc>
          <w:tcPr>
            <w:tcW w:w="1180" w:type="dxa"/>
            <w:tcBorders>
              <w:top w:val="nil"/>
              <w:left w:val="nil"/>
              <w:bottom w:val="nil"/>
              <w:right w:val="single" w:sz="4" w:space="0" w:color="auto"/>
            </w:tcBorders>
            <w:shd w:val="clear" w:color="auto" w:fill="95B3D7"/>
            <w:noWrap/>
            <w:vAlign w:val="bottom"/>
          </w:tcPr>
          <w:p w:rsidR="00E12355" w:rsidRPr="00E12355" w:rsidRDefault="00E12355" w:rsidP="00E12355">
            <w:pPr>
              <w:overflowPunct/>
              <w:autoSpaceDE/>
              <w:autoSpaceDN/>
              <w:adjustRightInd/>
              <w:jc w:val="right"/>
              <w:textAlignment w:val="auto"/>
              <w:rPr>
                <w:rFonts w:cs="Arial"/>
                <w:b/>
                <w:bCs/>
                <w:color w:val="000000"/>
                <w:sz w:val="22"/>
                <w:szCs w:val="22"/>
                <w:lang w:val="en-GB"/>
              </w:rPr>
            </w:pPr>
            <w:r w:rsidRPr="00E12355">
              <w:rPr>
                <w:rFonts w:cs="Arial"/>
                <w:b/>
                <w:bCs/>
                <w:color w:val="000000"/>
                <w:sz w:val="22"/>
                <w:szCs w:val="22"/>
                <w:lang w:val="en-GB"/>
              </w:rPr>
              <w:t xml:space="preserve">24,612 </w:t>
            </w:r>
          </w:p>
        </w:tc>
        <w:tc>
          <w:tcPr>
            <w:tcW w:w="1180" w:type="dxa"/>
            <w:tcBorders>
              <w:top w:val="nil"/>
              <w:left w:val="nil"/>
              <w:bottom w:val="nil"/>
              <w:right w:val="single" w:sz="4" w:space="0" w:color="auto"/>
            </w:tcBorders>
            <w:shd w:val="clear" w:color="auto" w:fill="95B3D7"/>
            <w:noWrap/>
            <w:vAlign w:val="bottom"/>
          </w:tcPr>
          <w:p w:rsidR="00E12355" w:rsidRPr="00E12355" w:rsidRDefault="00E12355" w:rsidP="00E12355">
            <w:pPr>
              <w:overflowPunct/>
              <w:autoSpaceDE/>
              <w:autoSpaceDN/>
              <w:adjustRightInd/>
              <w:jc w:val="right"/>
              <w:textAlignment w:val="auto"/>
              <w:rPr>
                <w:rFonts w:cs="Arial"/>
                <w:b/>
                <w:bCs/>
                <w:color w:val="000000"/>
                <w:sz w:val="22"/>
                <w:szCs w:val="22"/>
                <w:lang w:val="en-GB"/>
              </w:rPr>
            </w:pPr>
            <w:r w:rsidRPr="00E12355">
              <w:rPr>
                <w:rFonts w:cs="Arial"/>
                <w:b/>
                <w:bCs/>
                <w:color w:val="000000"/>
                <w:sz w:val="22"/>
                <w:szCs w:val="22"/>
                <w:lang w:val="en-GB"/>
              </w:rPr>
              <w:t xml:space="preserve">24,402 </w:t>
            </w:r>
          </w:p>
        </w:tc>
        <w:tc>
          <w:tcPr>
            <w:tcW w:w="1180" w:type="dxa"/>
            <w:tcBorders>
              <w:top w:val="nil"/>
              <w:left w:val="nil"/>
              <w:bottom w:val="nil"/>
              <w:right w:val="single" w:sz="4" w:space="0" w:color="auto"/>
            </w:tcBorders>
            <w:shd w:val="clear" w:color="auto" w:fill="95B3D7"/>
            <w:noWrap/>
            <w:vAlign w:val="bottom"/>
          </w:tcPr>
          <w:p w:rsidR="00E12355" w:rsidRPr="00E12355" w:rsidRDefault="00E12355" w:rsidP="00E12355">
            <w:pPr>
              <w:overflowPunct/>
              <w:autoSpaceDE/>
              <w:autoSpaceDN/>
              <w:adjustRightInd/>
              <w:jc w:val="right"/>
              <w:textAlignment w:val="auto"/>
              <w:rPr>
                <w:rFonts w:cs="Arial"/>
                <w:b/>
                <w:bCs/>
                <w:color w:val="000000"/>
                <w:sz w:val="22"/>
                <w:szCs w:val="22"/>
                <w:lang w:val="en-GB"/>
              </w:rPr>
            </w:pPr>
            <w:r w:rsidRPr="00E12355">
              <w:rPr>
                <w:rFonts w:cs="Arial"/>
                <w:b/>
                <w:bCs/>
                <w:color w:val="000000"/>
                <w:sz w:val="22"/>
                <w:szCs w:val="22"/>
                <w:lang w:val="en-GB"/>
              </w:rPr>
              <w:t xml:space="preserve">24,232 </w:t>
            </w:r>
          </w:p>
        </w:tc>
      </w:tr>
      <w:tr w:rsidR="00E12355" w:rsidRPr="00E12355" w:rsidTr="00E12355">
        <w:trPr>
          <w:trHeight w:val="363"/>
        </w:trPr>
        <w:tc>
          <w:tcPr>
            <w:tcW w:w="4400" w:type="dxa"/>
            <w:tcBorders>
              <w:top w:val="nil"/>
              <w:left w:val="single" w:sz="4" w:space="0" w:color="auto"/>
              <w:bottom w:val="single" w:sz="4" w:space="0" w:color="auto"/>
              <w:right w:val="single" w:sz="4" w:space="0" w:color="auto"/>
            </w:tcBorders>
            <w:shd w:val="clear" w:color="000000" w:fill="FFFFFF"/>
            <w:vAlign w:val="bottom"/>
          </w:tcPr>
          <w:p w:rsidR="00E12355" w:rsidRPr="00E12355" w:rsidRDefault="00E12355" w:rsidP="00E12355">
            <w:pPr>
              <w:overflowPunct/>
              <w:autoSpaceDE/>
              <w:autoSpaceDN/>
              <w:adjustRightInd/>
              <w:textAlignment w:val="auto"/>
              <w:rPr>
                <w:rFonts w:cs="Arial"/>
                <w:sz w:val="22"/>
                <w:szCs w:val="22"/>
                <w:lang w:val="en-GB" w:eastAsia="en-GB"/>
              </w:rPr>
            </w:pPr>
            <w:r w:rsidRPr="00E12355">
              <w:rPr>
                <w:rFonts w:cs="Arial"/>
                <w:sz w:val="22"/>
                <w:szCs w:val="22"/>
                <w:lang w:val="en-GB" w:eastAsia="en-GB"/>
              </w:rPr>
              <w:t>shortfall i.e. income against expenditure</w:t>
            </w:r>
          </w:p>
        </w:tc>
        <w:tc>
          <w:tcPr>
            <w:tcW w:w="1180" w:type="dxa"/>
            <w:tcBorders>
              <w:top w:val="nil"/>
              <w:left w:val="nil"/>
              <w:bottom w:val="single" w:sz="4" w:space="0" w:color="auto"/>
              <w:right w:val="single" w:sz="4" w:space="0" w:color="auto"/>
            </w:tcBorders>
            <w:shd w:val="clear" w:color="auto" w:fill="auto"/>
            <w:noWrap/>
            <w:vAlign w:val="bottom"/>
          </w:tcPr>
          <w:p w:rsidR="00E12355" w:rsidRPr="00E12355" w:rsidRDefault="00E12355" w:rsidP="00E12355">
            <w:pPr>
              <w:overflowPunct/>
              <w:autoSpaceDE/>
              <w:autoSpaceDN/>
              <w:adjustRightInd/>
              <w:jc w:val="right"/>
              <w:textAlignment w:val="auto"/>
              <w:rPr>
                <w:rFonts w:cs="Arial"/>
                <w:color w:val="000000"/>
                <w:sz w:val="22"/>
                <w:szCs w:val="22"/>
                <w:lang w:val="en-GB"/>
              </w:rPr>
            </w:pPr>
            <w:r w:rsidRPr="00E12355">
              <w:rPr>
                <w:rFonts w:cs="Arial"/>
                <w:color w:val="000000"/>
                <w:sz w:val="22"/>
                <w:szCs w:val="22"/>
                <w:lang w:val="en-GB"/>
              </w:rPr>
              <w:t xml:space="preserve">0 </w:t>
            </w:r>
          </w:p>
        </w:tc>
        <w:tc>
          <w:tcPr>
            <w:tcW w:w="1180" w:type="dxa"/>
            <w:tcBorders>
              <w:top w:val="nil"/>
              <w:left w:val="nil"/>
              <w:bottom w:val="single" w:sz="4" w:space="0" w:color="auto"/>
              <w:right w:val="single" w:sz="4" w:space="0" w:color="auto"/>
            </w:tcBorders>
            <w:shd w:val="clear" w:color="auto" w:fill="auto"/>
            <w:noWrap/>
            <w:vAlign w:val="bottom"/>
          </w:tcPr>
          <w:p w:rsidR="00E12355" w:rsidRPr="00E12355" w:rsidRDefault="00E12355" w:rsidP="00E12355">
            <w:pPr>
              <w:overflowPunct/>
              <w:autoSpaceDE/>
              <w:autoSpaceDN/>
              <w:adjustRightInd/>
              <w:jc w:val="right"/>
              <w:textAlignment w:val="auto"/>
              <w:rPr>
                <w:rFonts w:cs="Arial"/>
                <w:color w:val="000000"/>
                <w:sz w:val="22"/>
                <w:szCs w:val="22"/>
                <w:lang w:val="en-GB"/>
              </w:rPr>
            </w:pPr>
            <w:r w:rsidRPr="00E12355">
              <w:rPr>
                <w:rFonts w:cs="Arial"/>
                <w:color w:val="000000"/>
                <w:sz w:val="22"/>
                <w:szCs w:val="22"/>
                <w:lang w:val="en-GB"/>
              </w:rPr>
              <w:t xml:space="preserve">282 </w:t>
            </w:r>
          </w:p>
        </w:tc>
        <w:tc>
          <w:tcPr>
            <w:tcW w:w="1180" w:type="dxa"/>
            <w:tcBorders>
              <w:top w:val="nil"/>
              <w:left w:val="nil"/>
              <w:bottom w:val="single" w:sz="4" w:space="0" w:color="auto"/>
              <w:right w:val="single" w:sz="4" w:space="0" w:color="auto"/>
            </w:tcBorders>
            <w:shd w:val="clear" w:color="auto" w:fill="auto"/>
            <w:noWrap/>
            <w:vAlign w:val="bottom"/>
          </w:tcPr>
          <w:p w:rsidR="00E12355" w:rsidRPr="00E12355" w:rsidRDefault="00E12355" w:rsidP="00E12355">
            <w:pPr>
              <w:overflowPunct/>
              <w:autoSpaceDE/>
              <w:autoSpaceDN/>
              <w:adjustRightInd/>
              <w:jc w:val="right"/>
              <w:textAlignment w:val="auto"/>
              <w:rPr>
                <w:rFonts w:cs="Arial"/>
                <w:color w:val="000000"/>
                <w:sz w:val="22"/>
                <w:szCs w:val="22"/>
                <w:lang w:val="en-GB"/>
              </w:rPr>
            </w:pPr>
            <w:r w:rsidRPr="00E12355">
              <w:rPr>
                <w:rFonts w:cs="Arial"/>
                <w:color w:val="000000"/>
                <w:sz w:val="22"/>
                <w:szCs w:val="22"/>
                <w:lang w:val="en-GB"/>
              </w:rPr>
              <w:t xml:space="preserve">690 </w:t>
            </w:r>
          </w:p>
        </w:tc>
        <w:tc>
          <w:tcPr>
            <w:tcW w:w="1180" w:type="dxa"/>
            <w:tcBorders>
              <w:top w:val="nil"/>
              <w:left w:val="nil"/>
              <w:bottom w:val="single" w:sz="4" w:space="0" w:color="auto"/>
              <w:right w:val="single" w:sz="4" w:space="0" w:color="auto"/>
            </w:tcBorders>
            <w:shd w:val="clear" w:color="auto" w:fill="auto"/>
            <w:noWrap/>
            <w:vAlign w:val="bottom"/>
          </w:tcPr>
          <w:p w:rsidR="00E12355" w:rsidRPr="00E12355" w:rsidRDefault="00E12355" w:rsidP="00E12355">
            <w:pPr>
              <w:overflowPunct/>
              <w:autoSpaceDE/>
              <w:autoSpaceDN/>
              <w:adjustRightInd/>
              <w:jc w:val="right"/>
              <w:textAlignment w:val="auto"/>
              <w:rPr>
                <w:rFonts w:cs="Arial"/>
                <w:color w:val="000000"/>
                <w:sz w:val="22"/>
                <w:szCs w:val="22"/>
                <w:lang w:val="en-GB"/>
              </w:rPr>
            </w:pPr>
            <w:r w:rsidRPr="00E12355">
              <w:rPr>
                <w:rFonts w:cs="Arial"/>
                <w:color w:val="000000"/>
                <w:sz w:val="22"/>
                <w:szCs w:val="22"/>
                <w:lang w:val="en-GB"/>
              </w:rPr>
              <w:t xml:space="preserve">1,138 </w:t>
            </w:r>
          </w:p>
        </w:tc>
      </w:tr>
    </w:tbl>
    <w:p w:rsidR="00E12355" w:rsidRDefault="00E12355" w:rsidP="00E12355">
      <w:pPr>
        <w:rPr>
          <w:lang w:val="en-GB"/>
        </w:rPr>
      </w:pPr>
    </w:p>
    <w:p w:rsidR="00E12355" w:rsidRDefault="00E12355" w:rsidP="00E12355">
      <w:pPr>
        <w:rPr>
          <w:lang w:val="en-GB"/>
        </w:rPr>
      </w:pPr>
    </w:p>
    <w:p w:rsidR="00E12355" w:rsidRPr="00E12355" w:rsidRDefault="00E12355" w:rsidP="00E12355">
      <w:pPr>
        <w:rPr>
          <w:lang w:val="en-GB"/>
        </w:rPr>
      </w:pPr>
    </w:p>
    <w:p w:rsidR="00587E31" w:rsidRPr="00D15F76" w:rsidRDefault="00312D04" w:rsidP="00312D04">
      <w:pPr>
        <w:pStyle w:val="Heading2"/>
      </w:pPr>
      <w:bookmarkStart w:id="34" w:name="_Toc483994466"/>
      <w:r>
        <w:t>5.</w:t>
      </w:r>
      <w:r w:rsidR="00E12355">
        <w:t>4</w:t>
      </w:r>
      <w:r>
        <w:tab/>
      </w:r>
      <w:r w:rsidR="005C66FC" w:rsidRPr="00D15F76">
        <w:t xml:space="preserve">Proposed changes to start </w:t>
      </w:r>
      <w:r w:rsidR="00AF234B" w:rsidRPr="00D15F76">
        <w:t>20</w:t>
      </w:r>
      <w:r w:rsidR="005C66FC" w:rsidRPr="00D15F76">
        <w:t>19/20 or later</w:t>
      </w:r>
      <w:bookmarkEnd w:id="34"/>
    </w:p>
    <w:p w:rsidR="00312D04" w:rsidRDefault="00312D04" w:rsidP="00061782">
      <w:pPr>
        <w:rPr>
          <w:rFonts w:cs="Arial"/>
          <w:sz w:val="22"/>
          <w:szCs w:val="22"/>
        </w:rPr>
      </w:pPr>
    </w:p>
    <w:p w:rsidR="00AF234B" w:rsidRDefault="00240EF6" w:rsidP="00823F6A">
      <w:pPr>
        <w:spacing w:after="200" w:line="276" w:lineRule="auto"/>
        <w:rPr>
          <w:rFonts w:cs="Arial"/>
          <w:sz w:val="22"/>
          <w:szCs w:val="22"/>
        </w:rPr>
      </w:pPr>
      <w:r w:rsidRPr="00D15F76">
        <w:rPr>
          <w:rFonts w:cs="Arial"/>
          <w:sz w:val="22"/>
          <w:szCs w:val="22"/>
        </w:rPr>
        <w:t xml:space="preserve">Further work will be undertaken to </w:t>
      </w:r>
      <w:r w:rsidR="00563D1F" w:rsidRPr="00D15F76">
        <w:rPr>
          <w:rFonts w:cs="Arial"/>
          <w:sz w:val="22"/>
          <w:szCs w:val="22"/>
        </w:rPr>
        <w:t>review</w:t>
      </w:r>
      <w:r w:rsidRPr="00D15F76">
        <w:rPr>
          <w:rFonts w:cs="Arial"/>
          <w:sz w:val="22"/>
          <w:szCs w:val="22"/>
        </w:rPr>
        <w:t xml:space="preserve"> contracts that require re-commissioning in 2019/20 or where savings are required to be made.</w:t>
      </w:r>
      <w:r w:rsidR="00563D1F" w:rsidRPr="00AF234B">
        <w:rPr>
          <w:rFonts w:cs="Arial"/>
          <w:sz w:val="22"/>
          <w:szCs w:val="22"/>
        </w:rPr>
        <w:t xml:space="preserve"> According to current Public Health contract register</w:t>
      </w:r>
      <w:r w:rsidR="00AF234B" w:rsidRPr="00AF234B">
        <w:rPr>
          <w:rFonts w:cs="Arial"/>
          <w:sz w:val="22"/>
          <w:szCs w:val="22"/>
        </w:rPr>
        <w:t xml:space="preserve"> (Appendix 1)</w:t>
      </w:r>
      <w:r w:rsidR="00563D1F" w:rsidRPr="00AF234B">
        <w:rPr>
          <w:rFonts w:cs="Arial"/>
          <w:sz w:val="22"/>
          <w:szCs w:val="22"/>
        </w:rPr>
        <w:t xml:space="preserve">, the following services </w:t>
      </w:r>
      <w:r w:rsidR="004C6348">
        <w:rPr>
          <w:rFonts w:cs="Arial"/>
          <w:sz w:val="22"/>
          <w:szCs w:val="22"/>
        </w:rPr>
        <w:t>may</w:t>
      </w:r>
      <w:r w:rsidR="00563D1F" w:rsidRPr="00AF234B">
        <w:rPr>
          <w:rFonts w:cs="Arial"/>
          <w:sz w:val="22"/>
          <w:szCs w:val="22"/>
        </w:rPr>
        <w:t xml:space="preserve"> need to be </w:t>
      </w:r>
      <w:r w:rsidR="004C6348">
        <w:rPr>
          <w:rFonts w:cs="Arial"/>
          <w:sz w:val="22"/>
          <w:szCs w:val="22"/>
        </w:rPr>
        <w:t>re-commissioned</w:t>
      </w:r>
      <w:r w:rsidR="00AF234B">
        <w:rPr>
          <w:rFonts w:cs="Arial"/>
          <w:sz w:val="22"/>
          <w:szCs w:val="22"/>
        </w:rPr>
        <w:t>:</w:t>
      </w:r>
    </w:p>
    <w:p w:rsidR="00AF234B" w:rsidRDefault="00AF234B" w:rsidP="00823F6A">
      <w:pPr>
        <w:spacing w:after="200" w:line="276" w:lineRule="auto"/>
        <w:rPr>
          <w:rFonts w:cs="Arial"/>
          <w:sz w:val="22"/>
          <w:szCs w:val="22"/>
        </w:rPr>
      </w:pPr>
    </w:p>
    <w:p w:rsidR="00061782" w:rsidRPr="00E96392" w:rsidRDefault="004C6348" w:rsidP="00823F6A">
      <w:pPr>
        <w:spacing w:after="200" w:line="276" w:lineRule="auto"/>
        <w:rPr>
          <w:rFonts w:cs="Arial"/>
          <w:b/>
          <w:sz w:val="22"/>
          <w:szCs w:val="22"/>
        </w:rPr>
      </w:pPr>
      <w:r w:rsidRPr="00E96392">
        <w:rPr>
          <w:rFonts w:cs="Arial"/>
          <w:b/>
          <w:sz w:val="22"/>
          <w:szCs w:val="22"/>
        </w:rPr>
        <w:t xml:space="preserve">For </w:t>
      </w:r>
      <w:r w:rsidR="00563D1F" w:rsidRPr="00E96392">
        <w:rPr>
          <w:rFonts w:cs="Arial"/>
          <w:b/>
          <w:sz w:val="22"/>
          <w:szCs w:val="22"/>
        </w:rPr>
        <w:t>2019/20</w:t>
      </w:r>
      <w:r w:rsidRPr="004C6348">
        <w:rPr>
          <w:rFonts w:cs="Arial"/>
          <w:b/>
          <w:sz w:val="22"/>
          <w:szCs w:val="22"/>
        </w:rPr>
        <w:t xml:space="preserve"> start</w:t>
      </w:r>
      <w:r w:rsidR="00563D1F" w:rsidRPr="00E96392">
        <w:rPr>
          <w:rFonts w:cs="Arial"/>
          <w:b/>
          <w:sz w:val="22"/>
          <w:szCs w:val="22"/>
        </w:rPr>
        <w:t>:</w:t>
      </w:r>
    </w:p>
    <w:p w:rsidR="00563D1F" w:rsidRPr="004C6348" w:rsidRDefault="00563D1F" w:rsidP="00823F6A">
      <w:pPr>
        <w:pStyle w:val="ListParagraph"/>
        <w:numPr>
          <w:ilvl w:val="0"/>
          <w:numId w:val="33"/>
        </w:numPr>
        <w:rPr>
          <w:rFonts w:ascii="Arial" w:hAnsi="Arial" w:cs="Arial"/>
        </w:rPr>
      </w:pPr>
      <w:r w:rsidRPr="004C6348">
        <w:rPr>
          <w:rFonts w:ascii="Arial" w:hAnsi="Arial" w:cs="Arial"/>
        </w:rPr>
        <w:t>Integrated sexual health service</w:t>
      </w:r>
      <w:r w:rsidR="004F353D">
        <w:rPr>
          <w:rFonts w:ascii="Arial" w:hAnsi="Arial" w:cs="Arial"/>
        </w:rPr>
        <w:t xml:space="preserve"> (option for 24 months extension)</w:t>
      </w:r>
    </w:p>
    <w:p w:rsidR="00563D1F" w:rsidRPr="00E96392" w:rsidRDefault="00563D1F" w:rsidP="00823F6A">
      <w:pPr>
        <w:pStyle w:val="ListParagraph"/>
        <w:numPr>
          <w:ilvl w:val="0"/>
          <w:numId w:val="33"/>
        </w:numPr>
        <w:rPr>
          <w:rFonts w:ascii="Arial" w:hAnsi="Arial" w:cs="Arial"/>
        </w:rPr>
      </w:pPr>
      <w:r w:rsidRPr="00E96392">
        <w:rPr>
          <w:rFonts w:ascii="Arial" w:hAnsi="Arial" w:cs="Arial"/>
        </w:rPr>
        <w:t>Psychosexual service</w:t>
      </w:r>
      <w:r w:rsidR="004F353D">
        <w:rPr>
          <w:rFonts w:ascii="Arial" w:hAnsi="Arial" w:cs="Arial"/>
        </w:rPr>
        <w:t xml:space="preserve"> (option for 48 months extension)</w:t>
      </w:r>
    </w:p>
    <w:p w:rsidR="00563D1F" w:rsidRPr="00E96392" w:rsidRDefault="00563D1F" w:rsidP="00823F6A">
      <w:pPr>
        <w:pStyle w:val="ListParagraph"/>
        <w:numPr>
          <w:ilvl w:val="0"/>
          <w:numId w:val="33"/>
        </w:numPr>
        <w:rPr>
          <w:rFonts w:ascii="Arial" w:hAnsi="Arial" w:cs="Arial"/>
        </w:rPr>
      </w:pPr>
      <w:r w:rsidRPr="00E96392">
        <w:rPr>
          <w:rFonts w:ascii="Arial" w:hAnsi="Arial" w:cs="Arial"/>
        </w:rPr>
        <w:t>NHS Health Check</w:t>
      </w:r>
      <w:r w:rsidR="009346EB">
        <w:rPr>
          <w:rFonts w:ascii="Arial" w:hAnsi="Arial" w:cs="Arial"/>
        </w:rPr>
        <w:t xml:space="preserve"> </w:t>
      </w:r>
      <w:r w:rsidR="004F353D">
        <w:rPr>
          <w:rFonts w:ascii="Arial" w:hAnsi="Arial" w:cs="Arial"/>
        </w:rPr>
        <w:t xml:space="preserve">(option for </w:t>
      </w:r>
      <w:r w:rsidR="009346EB">
        <w:rPr>
          <w:rFonts w:ascii="Arial" w:hAnsi="Arial" w:cs="Arial"/>
        </w:rPr>
        <w:t>2</w:t>
      </w:r>
      <w:r w:rsidR="004F353D">
        <w:rPr>
          <w:rFonts w:ascii="Arial" w:hAnsi="Arial" w:cs="Arial"/>
        </w:rPr>
        <w:t>4</w:t>
      </w:r>
      <w:r w:rsidR="009346EB">
        <w:rPr>
          <w:rFonts w:ascii="Arial" w:hAnsi="Arial" w:cs="Arial"/>
        </w:rPr>
        <w:t xml:space="preserve"> months extension)</w:t>
      </w:r>
    </w:p>
    <w:p w:rsidR="00563D1F" w:rsidRDefault="00563D1F" w:rsidP="00823F6A">
      <w:pPr>
        <w:pStyle w:val="ListParagraph"/>
        <w:numPr>
          <w:ilvl w:val="0"/>
          <w:numId w:val="33"/>
        </w:numPr>
        <w:rPr>
          <w:rFonts w:ascii="Arial" w:hAnsi="Arial" w:cs="Arial"/>
        </w:rPr>
      </w:pPr>
      <w:r w:rsidRPr="00E96392">
        <w:rPr>
          <w:rFonts w:ascii="Arial" w:hAnsi="Arial" w:cs="Arial"/>
        </w:rPr>
        <w:t>Primary falls prevention and physical activity service</w:t>
      </w:r>
      <w:r w:rsidR="009346EB">
        <w:rPr>
          <w:rFonts w:ascii="Arial" w:hAnsi="Arial" w:cs="Arial"/>
        </w:rPr>
        <w:t xml:space="preserve"> (option for 12 months extension)</w:t>
      </w:r>
    </w:p>
    <w:p w:rsidR="009346EB" w:rsidRPr="00E96392" w:rsidRDefault="009346EB" w:rsidP="00823F6A">
      <w:pPr>
        <w:pStyle w:val="ListParagraph"/>
        <w:numPr>
          <w:ilvl w:val="0"/>
          <w:numId w:val="33"/>
        </w:numPr>
        <w:rPr>
          <w:rFonts w:ascii="Arial" w:hAnsi="Arial" w:cs="Arial"/>
        </w:rPr>
      </w:pPr>
      <w:r>
        <w:rPr>
          <w:rFonts w:ascii="Arial" w:hAnsi="Arial" w:cs="Arial"/>
        </w:rPr>
        <w:t>Respect Yourself Doncaster Website (option for 12 months extension)</w:t>
      </w:r>
    </w:p>
    <w:p w:rsidR="004F353D" w:rsidRPr="00E96392" w:rsidRDefault="004F353D" w:rsidP="00823F6A">
      <w:pPr>
        <w:pStyle w:val="ListParagraph"/>
        <w:numPr>
          <w:ilvl w:val="0"/>
          <w:numId w:val="33"/>
        </w:numPr>
        <w:rPr>
          <w:rFonts w:ascii="Arial" w:hAnsi="Arial" w:cs="Arial"/>
        </w:rPr>
      </w:pPr>
      <w:r>
        <w:rPr>
          <w:rFonts w:ascii="Arial" w:hAnsi="Arial" w:cs="Arial"/>
        </w:rPr>
        <w:t>Pupil Health Related Behaviour Questionnaire (no extension)</w:t>
      </w:r>
      <w:r w:rsidR="00D56989">
        <w:rPr>
          <w:rFonts w:ascii="Arial" w:hAnsi="Arial" w:cs="Arial"/>
        </w:rPr>
        <w:t>.</w:t>
      </w:r>
    </w:p>
    <w:p w:rsidR="00AF234B" w:rsidRPr="00E96392" w:rsidRDefault="004C6348" w:rsidP="00823F6A">
      <w:pPr>
        <w:spacing w:after="200" w:line="276" w:lineRule="auto"/>
        <w:rPr>
          <w:rFonts w:cs="Arial"/>
          <w:b/>
          <w:sz w:val="22"/>
          <w:szCs w:val="22"/>
        </w:rPr>
      </w:pPr>
      <w:r>
        <w:rPr>
          <w:rFonts w:cs="Arial"/>
          <w:b/>
          <w:sz w:val="22"/>
          <w:szCs w:val="22"/>
        </w:rPr>
        <w:t xml:space="preserve">For </w:t>
      </w:r>
      <w:r w:rsidR="00AF234B" w:rsidRPr="00E96392">
        <w:rPr>
          <w:rFonts w:cs="Arial"/>
          <w:b/>
          <w:sz w:val="22"/>
          <w:szCs w:val="22"/>
        </w:rPr>
        <w:t>2020/21</w:t>
      </w:r>
      <w:r>
        <w:rPr>
          <w:rFonts w:cs="Arial"/>
          <w:b/>
          <w:sz w:val="22"/>
          <w:szCs w:val="22"/>
        </w:rPr>
        <w:t xml:space="preserve"> start</w:t>
      </w:r>
      <w:r w:rsidRPr="00E96392">
        <w:rPr>
          <w:rFonts w:cs="Arial"/>
          <w:b/>
          <w:sz w:val="22"/>
          <w:szCs w:val="22"/>
        </w:rPr>
        <w:t>:</w:t>
      </w:r>
    </w:p>
    <w:p w:rsidR="00AF234B" w:rsidRPr="00E96392" w:rsidRDefault="00AF234B" w:rsidP="00823F6A">
      <w:pPr>
        <w:pStyle w:val="ListParagraph"/>
        <w:numPr>
          <w:ilvl w:val="0"/>
          <w:numId w:val="34"/>
        </w:numPr>
        <w:rPr>
          <w:rFonts w:ascii="Arial" w:hAnsi="Arial" w:cs="Arial"/>
        </w:rPr>
      </w:pPr>
      <w:r w:rsidRPr="00E96392">
        <w:rPr>
          <w:rFonts w:ascii="Arial" w:hAnsi="Arial" w:cs="Arial"/>
        </w:rPr>
        <w:t>Adults substance misuse</w:t>
      </w:r>
      <w:r w:rsidR="009346EB">
        <w:rPr>
          <w:rFonts w:ascii="Arial" w:hAnsi="Arial" w:cs="Arial"/>
        </w:rPr>
        <w:t xml:space="preserve"> (option for 12 months extension)</w:t>
      </w:r>
    </w:p>
    <w:p w:rsidR="009346EB" w:rsidRPr="00E96392" w:rsidRDefault="00AF234B" w:rsidP="00823F6A">
      <w:pPr>
        <w:pStyle w:val="ListParagraph"/>
        <w:numPr>
          <w:ilvl w:val="0"/>
          <w:numId w:val="34"/>
        </w:numPr>
        <w:rPr>
          <w:rFonts w:ascii="Arial" w:hAnsi="Arial" w:cs="Arial"/>
        </w:rPr>
      </w:pPr>
      <w:r w:rsidRPr="00E96392">
        <w:rPr>
          <w:rFonts w:ascii="Arial" w:hAnsi="Arial" w:cs="Arial"/>
        </w:rPr>
        <w:t>Integrated young persons</w:t>
      </w:r>
      <w:r w:rsidR="00D56989">
        <w:rPr>
          <w:rFonts w:ascii="Arial" w:hAnsi="Arial" w:cs="Arial"/>
        </w:rPr>
        <w:t>’</w:t>
      </w:r>
      <w:r w:rsidRPr="00E96392">
        <w:rPr>
          <w:rFonts w:ascii="Arial" w:hAnsi="Arial" w:cs="Arial"/>
        </w:rPr>
        <w:t xml:space="preserve"> health &amp; wellbeing services</w:t>
      </w:r>
      <w:r w:rsidR="009346EB">
        <w:rPr>
          <w:rFonts w:ascii="Arial" w:hAnsi="Arial" w:cs="Arial"/>
        </w:rPr>
        <w:t xml:space="preserve"> (option for 24 months extension)</w:t>
      </w:r>
    </w:p>
    <w:p w:rsidR="0033776B" w:rsidRPr="00DF2A7D" w:rsidRDefault="00AF234B" w:rsidP="00823F6A">
      <w:pPr>
        <w:pStyle w:val="ListParagraph"/>
        <w:numPr>
          <w:ilvl w:val="0"/>
          <w:numId w:val="34"/>
        </w:numPr>
        <w:rPr>
          <w:rFonts w:ascii="Arial" w:hAnsi="Arial" w:cs="Arial"/>
        </w:rPr>
      </w:pPr>
      <w:r w:rsidRPr="00E96392">
        <w:rPr>
          <w:rFonts w:ascii="Arial" w:hAnsi="Arial" w:cs="Arial"/>
        </w:rPr>
        <w:t>School nursing service</w:t>
      </w:r>
      <w:r w:rsidR="009346EB">
        <w:rPr>
          <w:rFonts w:ascii="Arial" w:hAnsi="Arial" w:cs="Arial"/>
        </w:rPr>
        <w:t xml:space="preserve"> (option for 24 months extension)</w:t>
      </w:r>
      <w:r w:rsidRPr="00E96392">
        <w:rPr>
          <w:rFonts w:ascii="Arial" w:hAnsi="Arial" w:cs="Arial"/>
        </w:rPr>
        <w:t>.</w:t>
      </w:r>
    </w:p>
    <w:p w:rsidR="0033776B" w:rsidRDefault="0033776B" w:rsidP="00490CEF"/>
    <w:p w:rsidR="00E039A0" w:rsidRPr="00EF3D98" w:rsidRDefault="00341D2C" w:rsidP="00802567">
      <w:pPr>
        <w:pStyle w:val="Heading2"/>
      </w:pPr>
      <w:bookmarkStart w:id="35" w:name="_Toc483994467"/>
      <w:r>
        <w:t>5.</w:t>
      </w:r>
      <w:r w:rsidR="00E12355">
        <w:t>5</w:t>
      </w:r>
      <w:r>
        <w:tab/>
      </w:r>
      <w:r w:rsidR="00E039A0" w:rsidRPr="00EF3D98">
        <w:t>Key risks and issues</w:t>
      </w:r>
      <w:bookmarkEnd w:id="35"/>
    </w:p>
    <w:p w:rsidR="00E039A0" w:rsidRPr="00EF3D98" w:rsidRDefault="00E039A0" w:rsidP="00823F6A">
      <w:pPr>
        <w:overflowPunct/>
        <w:autoSpaceDE/>
        <w:autoSpaceDN/>
        <w:adjustRightInd/>
        <w:spacing w:after="200" w:line="276" w:lineRule="auto"/>
        <w:jc w:val="both"/>
        <w:textAlignment w:val="auto"/>
        <w:rPr>
          <w:rFonts w:ascii="Calibri" w:eastAsia="Calibri" w:hAnsi="Calibri"/>
          <w:sz w:val="22"/>
          <w:szCs w:val="22"/>
          <w:lang w:val="en-GB"/>
        </w:rPr>
      </w:pPr>
    </w:p>
    <w:p w:rsidR="00E039A0" w:rsidRPr="004C6348" w:rsidRDefault="00E039A0" w:rsidP="00823F6A">
      <w:pPr>
        <w:overflowPunct/>
        <w:autoSpaceDE/>
        <w:autoSpaceDN/>
        <w:adjustRightInd/>
        <w:spacing w:after="200" w:line="276" w:lineRule="auto"/>
        <w:jc w:val="both"/>
        <w:textAlignment w:val="auto"/>
        <w:rPr>
          <w:rFonts w:eastAsia="Calibri" w:cs="Arial"/>
          <w:sz w:val="22"/>
          <w:szCs w:val="22"/>
          <w:lang w:val="en-GB"/>
        </w:rPr>
      </w:pPr>
      <w:r w:rsidRPr="00E039A0">
        <w:rPr>
          <w:rFonts w:eastAsia="Calibri" w:cs="Arial"/>
          <w:sz w:val="22"/>
          <w:szCs w:val="22"/>
          <w:lang w:val="en-GB"/>
        </w:rPr>
        <w:t xml:space="preserve">There </w:t>
      </w:r>
      <w:r w:rsidRPr="004C6348">
        <w:rPr>
          <w:rFonts w:eastAsia="Calibri" w:cs="Arial"/>
          <w:sz w:val="22"/>
          <w:szCs w:val="22"/>
          <w:lang w:val="en-GB"/>
        </w:rPr>
        <w:t>are 3 key risks to the proposed option of reduced and remodelled public health services</w:t>
      </w:r>
      <w:r w:rsidR="004C6348" w:rsidRPr="004C6348">
        <w:rPr>
          <w:rFonts w:eastAsia="Calibri" w:cs="Arial"/>
          <w:sz w:val="22"/>
          <w:szCs w:val="22"/>
          <w:lang w:val="en-GB"/>
        </w:rPr>
        <w:t>.</w:t>
      </w:r>
    </w:p>
    <w:p w:rsidR="00E039A0" w:rsidRDefault="00E039A0" w:rsidP="00823F6A">
      <w:pPr>
        <w:pStyle w:val="ListParagraph"/>
        <w:numPr>
          <w:ilvl w:val="0"/>
          <w:numId w:val="35"/>
        </w:numPr>
        <w:jc w:val="both"/>
        <w:rPr>
          <w:rFonts w:ascii="Arial" w:hAnsi="Arial" w:cs="Arial"/>
        </w:rPr>
      </w:pPr>
      <w:r w:rsidRPr="00E96392">
        <w:rPr>
          <w:rFonts w:ascii="Arial" w:hAnsi="Arial" w:cs="Arial"/>
          <w:b/>
        </w:rPr>
        <w:t>Substantial change in size or status of ring-fenced grant</w:t>
      </w:r>
      <w:r w:rsidR="00BE0F0F" w:rsidRPr="00E96392">
        <w:rPr>
          <w:rFonts w:ascii="Arial" w:hAnsi="Arial" w:cs="Arial"/>
          <w:b/>
        </w:rPr>
        <w:t>:</w:t>
      </w:r>
      <w:r w:rsidRPr="00E96392">
        <w:rPr>
          <w:rFonts w:ascii="Arial" w:hAnsi="Arial" w:cs="Arial"/>
        </w:rPr>
        <w:t xml:space="preserve"> </w:t>
      </w:r>
      <w:r w:rsidR="0076651B" w:rsidRPr="0076651B">
        <w:rPr>
          <w:rFonts w:ascii="Arial" w:hAnsi="Arial" w:cs="Arial"/>
        </w:rPr>
        <w:t>This option assumes that the public health grant continues to be ring fenced and there are no additional reductions in the size of the grant. A reduction in the grant will require additional savings and if the ring fence is removed the Council may choose to use the entire grant differently</w:t>
      </w:r>
      <w:proofErr w:type="gramStart"/>
      <w:r w:rsidR="0076651B" w:rsidRPr="0076651B">
        <w:rPr>
          <w:rFonts w:ascii="Arial" w:hAnsi="Arial" w:cs="Arial"/>
        </w:rPr>
        <w:t>.</w:t>
      </w:r>
      <w:r w:rsidRPr="00E96392">
        <w:rPr>
          <w:rFonts w:ascii="Arial" w:hAnsi="Arial" w:cs="Arial"/>
        </w:rPr>
        <w:t>.</w:t>
      </w:r>
      <w:proofErr w:type="gramEnd"/>
      <w:r w:rsidRPr="00E96392">
        <w:rPr>
          <w:rFonts w:ascii="Arial" w:hAnsi="Arial" w:cs="Arial"/>
        </w:rPr>
        <w:t xml:space="preserve"> </w:t>
      </w:r>
      <w:r w:rsidR="004C6348">
        <w:rPr>
          <w:rFonts w:ascii="Arial" w:hAnsi="Arial" w:cs="Arial"/>
        </w:rPr>
        <w:t xml:space="preserve">Future funding of public health grant may change, in light of </w:t>
      </w:r>
      <w:r w:rsidR="00347EC0">
        <w:rPr>
          <w:rFonts w:ascii="Arial" w:hAnsi="Arial" w:cs="Arial"/>
        </w:rPr>
        <w:t xml:space="preserve">Government </w:t>
      </w:r>
      <w:r w:rsidR="004C6348">
        <w:rPr>
          <w:rFonts w:ascii="Arial" w:hAnsi="Arial" w:cs="Arial"/>
        </w:rPr>
        <w:t xml:space="preserve">proposal that public health grant will </w:t>
      </w:r>
      <w:r w:rsidR="00347EC0">
        <w:rPr>
          <w:rFonts w:ascii="Arial" w:hAnsi="Arial" w:cs="Arial"/>
        </w:rPr>
        <w:t xml:space="preserve">have to </w:t>
      </w:r>
      <w:r w:rsidR="004C6348">
        <w:rPr>
          <w:rFonts w:ascii="Arial" w:hAnsi="Arial" w:cs="Arial"/>
        </w:rPr>
        <w:t xml:space="preserve">be met from </w:t>
      </w:r>
      <w:r w:rsidR="00347EC0">
        <w:rPr>
          <w:rFonts w:ascii="Arial" w:hAnsi="Arial" w:cs="Arial"/>
        </w:rPr>
        <w:t xml:space="preserve">funds raised by local authorities as </w:t>
      </w:r>
      <w:r w:rsidR="004C6348">
        <w:rPr>
          <w:rFonts w:ascii="Arial" w:hAnsi="Arial" w:cs="Arial"/>
        </w:rPr>
        <w:t xml:space="preserve">business rates. </w:t>
      </w:r>
      <w:r w:rsidR="00347EC0">
        <w:rPr>
          <w:rFonts w:ascii="Arial" w:hAnsi="Arial" w:cs="Arial"/>
        </w:rPr>
        <w:t xml:space="preserve">Therefore, the amount of public health budget will dependent on how much funds each local authority is able to collect as business rates. </w:t>
      </w:r>
      <w:r w:rsidRPr="00E96392">
        <w:rPr>
          <w:rFonts w:ascii="Arial" w:hAnsi="Arial" w:cs="Arial"/>
        </w:rPr>
        <w:t>A reduction in the grant will require additional savings and if the ring fence is removed the Council may choose to use the entire grant differently.</w:t>
      </w:r>
    </w:p>
    <w:p w:rsidR="0076651B" w:rsidRPr="00E96392" w:rsidRDefault="0076651B" w:rsidP="00823F6A">
      <w:pPr>
        <w:pStyle w:val="ListParagraph"/>
        <w:jc w:val="both"/>
        <w:rPr>
          <w:rFonts w:ascii="Arial" w:hAnsi="Arial" w:cs="Arial"/>
        </w:rPr>
      </w:pPr>
    </w:p>
    <w:p w:rsidR="0076651B" w:rsidRDefault="00E039A0" w:rsidP="00823F6A">
      <w:pPr>
        <w:pStyle w:val="ListParagraph"/>
        <w:numPr>
          <w:ilvl w:val="0"/>
          <w:numId w:val="35"/>
        </w:numPr>
        <w:jc w:val="both"/>
        <w:rPr>
          <w:rFonts w:ascii="Arial" w:hAnsi="Arial" w:cs="Arial"/>
        </w:rPr>
      </w:pPr>
      <w:r w:rsidRPr="00E96392">
        <w:rPr>
          <w:rFonts w:ascii="Arial" w:hAnsi="Arial" w:cs="Arial"/>
          <w:b/>
        </w:rPr>
        <w:t xml:space="preserve">Worsening Health Outcomes and the Introduction of </w:t>
      </w:r>
      <w:r w:rsidR="00C332FF" w:rsidRPr="00E96392">
        <w:rPr>
          <w:rFonts w:ascii="Arial" w:hAnsi="Arial" w:cs="Arial"/>
          <w:b/>
        </w:rPr>
        <w:t>Business Rates</w:t>
      </w:r>
      <w:r w:rsidR="00BE0F0F" w:rsidRPr="00E96392">
        <w:rPr>
          <w:rFonts w:ascii="Arial" w:hAnsi="Arial" w:cs="Arial"/>
          <w:b/>
        </w:rPr>
        <w:t>:</w:t>
      </w:r>
      <w:r w:rsidRPr="00E96392">
        <w:rPr>
          <w:rFonts w:ascii="Arial" w:hAnsi="Arial" w:cs="Arial"/>
        </w:rPr>
        <w:t xml:space="preserve"> </w:t>
      </w:r>
      <w:r w:rsidR="00C332FF" w:rsidRPr="00E96392">
        <w:rPr>
          <w:rFonts w:ascii="Arial" w:hAnsi="Arial" w:cs="Arial"/>
        </w:rPr>
        <w:t xml:space="preserve">There is proposal for public health grants to be funded through the introduction of business rates collected by the Council. Details of this are not yet available. This may impact on the public health grant that is needed to deliver future public health services. </w:t>
      </w:r>
      <w:r w:rsidRPr="00E96392">
        <w:rPr>
          <w:rFonts w:ascii="Arial" w:hAnsi="Arial" w:cs="Arial"/>
        </w:rPr>
        <w:t xml:space="preserve">Health outcomes in Doncaster are improving but are significantly worse than the national average. Any proposal that links the size of the public health grant to meeting specific health outcomes must be considered high risk. The best way to </w:t>
      </w:r>
      <w:r w:rsidRPr="00E96392">
        <w:rPr>
          <w:rFonts w:ascii="Arial" w:hAnsi="Arial" w:cs="Arial"/>
        </w:rPr>
        <w:lastRenderedPageBreak/>
        <w:t>manage this risk is to maintain a broad portfolio of health improvement activity to maximise the Council’s ability to meet any proposed targets.</w:t>
      </w:r>
    </w:p>
    <w:p w:rsidR="00E039A0" w:rsidRPr="00E96392" w:rsidRDefault="00E039A0" w:rsidP="00823F6A">
      <w:pPr>
        <w:pStyle w:val="ListParagraph"/>
        <w:jc w:val="both"/>
        <w:rPr>
          <w:rFonts w:ascii="Arial" w:hAnsi="Arial" w:cs="Arial"/>
        </w:rPr>
      </w:pPr>
      <w:r w:rsidRPr="00E96392">
        <w:rPr>
          <w:rFonts w:ascii="Arial" w:hAnsi="Arial" w:cs="Arial"/>
        </w:rPr>
        <w:t xml:space="preserve"> </w:t>
      </w:r>
    </w:p>
    <w:p w:rsidR="00E039A0" w:rsidRPr="00E96392" w:rsidRDefault="00E039A0" w:rsidP="00823F6A">
      <w:pPr>
        <w:pStyle w:val="ListParagraph"/>
        <w:numPr>
          <w:ilvl w:val="0"/>
          <w:numId w:val="35"/>
        </w:numPr>
        <w:jc w:val="both"/>
        <w:rPr>
          <w:rFonts w:ascii="Arial" w:hAnsi="Arial" w:cs="Arial"/>
        </w:rPr>
      </w:pPr>
      <w:r w:rsidRPr="00E96392">
        <w:rPr>
          <w:rFonts w:ascii="Arial" w:hAnsi="Arial" w:cs="Arial"/>
          <w:b/>
        </w:rPr>
        <w:t>Insufficient volume in contracts</w:t>
      </w:r>
      <w:r w:rsidR="00BE0F0F" w:rsidRPr="00E96392">
        <w:rPr>
          <w:rFonts w:ascii="Arial" w:hAnsi="Arial" w:cs="Arial"/>
          <w:b/>
        </w:rPr>
        <w:t>:</w:t>
      </w:r>
      <w:r w:rsidRPr="00E96392">
        <w:rPr>
          <w:rFonts w:ascii="Arial" w:hAnsi="Arial" w:cs="Arial"/>
        </w:rPr>
        <w:t xml:space="preserve"> Current public health services run with almost no waiting lists. As reductions in investment in any programme are almost entirely related to staff costs there is a possibility that waiting lists will be generated for public health commissioned services. A reduced and remodelled approach to public health services has the best chance of avoiding this. Demand management strategies will be optimised but with many of these preventative services reducing demand for these services will increase future care costs borne by other parts of the Council especially Adult social care. Across all service areas the use of web-based services will be explored in order to reduce unnecessary face to face contacts. </w:t>
      </w:r>
    </w:p>
    <w:p w:rsidR="00F52675" w:rsidRPr="0076651B" w:rsidRDefault="00F52675" w:rsidP="00823F6A">
      <w:pPr>
        <w:spacing w:after="200" w:line="276" w:lineRule="auto"/>
        <w:jc w:val="both"/>
        <w:rPr>
          <w:rFonts w:eastAsia="Calibri"/>
          <w:sz w:val="22"/>
          <w:szCs w:val="22"/>
          <w:lang w:val="en-GB"/>
        </w:rPr>
      </w:pPr>
      <w:r w:rsidRPr="0076651B">
        <w:rPr>
          <w:rFonts w:eastAsia="Calibri" w:cs="Arial"/>
          <w:sz w:val="22"/>
          <w:szCs w:val="22"/>
          <w:lang w:val="en-GB"/>
        </w:rPr>
        <w:t>There are also a number of c</w:t>
      </w:r>
      <w:r w:rsidRPr="0076651B">
        <w:rPr>
          <w:rFonts w:eastAsia="Calibri"/>
          <w:sz w:val="22"/>
          <w:szCs w:val="22"/>
          <w:lang w:val="en-GB"/>
        </w:rPr>
        <w:t>ross cutting issues that can impact on this strategy. These include</w:t>
      </w:r>
    </w:p>
    <w:p w:rsidR="0076651B" w:rsidRPr="0076651B" w:rsidRDefault="0076651B" w:rsidP="00823F6A">
      <w:pPr>
        <w:numPr>
          <w:ilvl w:val="0"/>
          <w:numId w:val="6"/>
        </w:numPr>
        <w:overflowPunct/>
        <w:autoSpaceDE/>
        <w:autoSpaceDN/>
        <w:adjustRightInd/>
        <w:spacing w:after="200" w:line="276" w:lineRule="auto"/>
        <w:ind w:left="1080"/>
        <w:jc w:val="both"/>
        <w:textAlignment w:val="auto"/>
        <w:rPr>
          <w:rFonts w:eastAsia="Calibri" w:cs="Arial"/>
          <w:sz w:val="22"/>
          <w:szCs w:val="22"/>
          <w:lang w:val="en-GB"/>
        </w:rPr>
      </w:pPr>
      <w:r w:rsidRPr="0076651B">
        <w:rPr>
          <w:rFonts w:eastAsia="Calibri" w:cs="Arial"/>
          <w:sz w:val="22"/>
          <w:szCs w:val="22"/>
          <w:lang w:val="en-GB"/>
        </w:rPr>
        <w:t>The development of the Doncaster approach to joint or more integrated commissioning both within DMBC and across the Team Doncaster partnership.</w:t>
      </w:r>
    </w:p>
    <w:p w:rsidR="0076651B" w:rsidRPr="0076651B" w:rsidRDefault="0076651B" w:rsidP="00823F6A">
      <w:pPr>
        <w:numPr>
          <w:ilvl w:val="0"/>
          <w:numId w:val="6"/>
        </w:numPr>
        <w:overflowPunct/>
        <w:autoSpaceDE/>
        <w:autoSpaceDN/>
        <w:adjustRightInd/>
        <w:spacing w:after="200" w:line="276" w:lineRule="auto"/>
        <w:ind w:left="1080"/>
        <w:jc w:val="both"/>
        <w:textAlignment w:val="auto"/>
        <w:rPr>
          <w:rFonts w:eastAsia="Calibri" w:cs="Arial"/>
          <w:sz w:val="22"/>
          <w:szCs w:val="22"/>
          <w:lang w:val="en-GB"/>
        </w:rPr>
      </w:pPr>
      <w:r w:rsidRPr="0076651B">
        <w:rPr>
          <w:rFonts w:eastAsia="Calibri" w:cs="Arial"/>
          <w:sz w:val="22"/>
          <w:szCs w:val="22"/>
          <w:lang w:val="en-GB"/>
        </w:rPr>
        <w:t>The development of the Doncaster approach to more integrated provision of services as described in the Doncaster Place Plan including work on ‘complex dependencies’.</w:t>
      </w:r>
    </w:p>
    <w:p w:rsidR="0076651B" w:rsidRPr="0076651B" w:rsidRDefault="0076651B" w:rsidP="00823F6A">
      <w:pPr>
        <w:numPr>
          <w:ilvl w:val="0"/>
          <w:numId w:val="6"/>
        </w:numPr>
        <w:overflowPunct/>
        <w:autoSpaceDE/>
        <w:autoSpaceDN/>
        <w:adjustRightInd/>
        <w:spacing w:after="200" w:line="276" w:lineRule="auto"/>
        <w:ind w:left="1080"/>
        <w:jc w:val="both"/>
        <w:textAlignment w:val="auto"/>
        <w:rPr>
          <w:rFonts w:eastAsia="Calibri" w:cs="Arial"/>
          <w:sz w:val="22"/>
          <w:szCs w:val="22"/>
          <w:lang w:val="en-GB"/>
        </w:rPr>
      </w:pPr>
      <w:r w:rsidRPr="0076651B">
        <w:rPr>
          <w:rFonts w:eastAsia="Calibri" w:cs="Arial"/>
          <w:sz w:val="22"/>
          <w:szCs w:val="22"/>
          <w:lang w:val="en-GB"/>
        </w:rPr>
        <w:t>The challenges faced by providers to continue to delivery services given the budget reductions to date.</w:t>
      </w:r>
    </w:p>
    <w:p w:rsidR="0076651B" w:rsidRPr="0076651B" w:rsidRDefault="0076651B" w:rsidP="00823F6A">
      <w:pPr>
        <w:numPr>
          <w:ilvl w:val="0"/>
          <w:numId w:val="6"/>
        </w:numPr>
        <w:overflowPunct/>
        <w:autoSpaceDE/>
        <w:autoSpaceDN/>
        <w:adjustRightInd/>
        <w:spacing w:after="200" w:line="276" w:lineRule="auto"/>
        <w:ind w:left="1080"/>
        <w:jc w:val="both"/>
        <w:textAlignment w:val="auto"/>
        <w:rPr>
          <w:rFonts w:eastAsia="Calibri" w:cs="Arial"/>
          <w:sz w:val="22"/>
          <w:szCs w:val="22"/>
          <w:lang w:val="en-GB"/>
        </w:rPr>
      </w:pPr>
      <w:r w:rsidRPr="0076651B">
        <w:rPr>
          <w:rFonts w:eastAsia="Calibri" w:cs="Arial"/>
          <w:sz w:val="22"/>
          <w:szCs w:val="22"/>
          <w:lang w:val="en-GB"/>
        </w:rPr>
        <w:t>The capability and capacity of the staff in the public health directorate to deliver this strategy.</w:t>
      </w:r>
    </w:p>
    <w:p w:rsidR="0076651B" w:rsidRPr="0076651B" w:rsidRDefault="0076651B" w:rsidP="00823F6A">
      <w:pPr>
        <w:numPr>
          <w:ilvl w:val="0"/>
          <w:numId w:val="6"/>
        </w:numPr>
        <w:overflowPunct/>
        <w:autoSpaceDE/>
        <w:autoSpaceDN/>
        <w:adjustRightInd/>
        <w:spacing w:after="200" w:line="276" w:lineRule="auto"/>
        <w:ind w:left="1080"/>
        <w:jc w:val="both"/>
        <w:textAlignment w:val="auto"/>
        <w:rPr>
          <w:rFonts w:eastAsia="Calibri" w:cs="Arial"/>
          <w:sz w:val="22"/>
          <w:szCs w:val="22"/>
          <w:lang w:val="en-GB"/>
        </w:rPr>
      </w:pPr>
      <w:r w:rsidRPr="0076651B">
        <w:rPr>
          <w:rFonts w:eastAsia="Calibri" w:cs="Arial"/>
          <w:sz w:val="22"/>
          <w:szCs w:val="22"/>
          <w:lang w:val="en-GB"/>
        </w:rPr>
        <w:t>The availability of information and evidence to inform the strategy.</w:t>
      </w:r>
    </w:p>
    <w:p w:rsidR="00EF3D98" w:rsidRPr="00E1653D" w:rsidRDefault="00E1653D" w:rsidP="007479C3">
      <w:pPr>
        <w:pStyle w:val="Heading1"/>
        <w:keepLines/>
        <w:numPr>
          <w:ilvl w:val="0"/>
          <w:numId w:val="2"/>
        </w:numPr>
        <w:overflowPunct/>
        <w:autoSpaceDE/>
        <w:autoSpaceDN/>
        <w:adjustRightInd/>
        <w:spacing w:before="480" w:line="276" w:lineRule="auto"/>
        <w:textAlignment w:val="auto"/>
        <w:rPr>
          <w:rFonts w:eastAsia="Calibri" w:cs="Arial"/>
          <w:szCs w:val="24"/>
          <w:lang w:val="en-GB"/>
        </w:rPr>
      </w:pPr>
      <w:bookmarkStart w:id="36" w:name="_Toc483994468"/>
      <w:r>
        <w:rPr>
          <w:lang w:val="en-GB"/>
        </w:rPr>
        <w:t>Conclusion</w:t>
      </w:r>
      <w:bookmarkEnd w:id="36"/>
    </w:p>
    <w:p w:rsidR="00EF3D98" w:rsidRPr="00EF3D98" w:rsidRDefault="00EF3D98" w:rsidP="00EF3D98">
      <w:pPr>
        <w:overflowPunct/>
        <w:autoSpaceDE/>
        <w:autoSpaceDN/>
        <w:adjustRightInd/>
        <w:spacing w:after="200" w:line="276" w:lineRule="auto"/>
        <w:textAlignment w:val="auto"/>
        <w:rPr>
          <w:rFonts w:eastAsia="Calibri" w:cs="Arial"/>
          <w:szCs w:val="24"/>
          <w:lang w:val="en-GB"/>
        </w:rPr>
      </w:pPr>
    </w:p>
    <w:p w:rsidR="00E039A0" w:rsidRDefault="0060426E" w:rsidP="00E1653D">
      <w:pPr>
        <w:overflowPunct/>
        <w:autoSpaceDE/>
        <w:autoSpaceDN/>
        <w:adjustRightInd/>
        <w:spacing w:after="200" w:line="276" w:lineRule="auto"/>
        <w:textAlignment w:val="auto"/>
        <w:rPr>
          <w:rFonts w:eastAsia="Calibri" w:cs="Arial"/>
          <w:sz w:val="22"/>
          <w:szCs w:val="22"/>
          <w:lang w:val="en-GB"/>
        </w:rPr>
      </w:pPr>
      <w:r>
        <w:rPr>
          <w:rFonts w:eastAsia="Calibri" w:cs="Arial"/>
          <w:sz w:val="22"/>
          <w:szCs w:val="22"/>
          <w:lang w:val="en-GB"/>
        </w:rPr>
        <w:t xml:space="preserve">This strategy sets out the key commissioning responsibilities, ways of working and challenges for the public health </w:t>
      </w:r>
      <w:r w:rsidR="00D7230E">
        <w:rPr>
          <w:rFonts w:eastAsia="Calibri" w:cs="Arial"/>
          <w:sz w:val="22"/>
          <w:szCs w:val="22"/>
          <w:lang w:val="en-GB"/>
        </w:rPr>
        <w:t>team</w:t>
      </w:r>
      <w:r>
        <w:rPr>
          <w:rFonts w:eastAsia="Calibri" w:cs="Arial"/>
          <w:sz w:val="22"/>
          <w:szCs w:val="22"/>
          <w:lang w:val="en-GB"/>
        </w:rPr>
        <w:t>.</w:t>
      </w:r>
    </w:p>
    <w:p w:rsidR="0060426E" w:rsidRDefault="0060426E" w:rsidP="00E1653D">
      <w:pPr>
        <w:overflowPunct/>
        <w:autoSpaceDE/>
        <w:autoSpaceDN/>
        <w:adjustRightInd/>
        <w:spacing w:after="200" w:line="276" w:lineRule="auto"/>
        <w:textAlignment w:val="auto"/>
        <w:rPr>
          <w:rFonts w:eastAsia="Calibri" w:cs="Arial"/>
          <w:sz w:val="22"/>
          <w:szCs w:val="22"/>
          <w:lang w:val="en-GB"/>
        </w:rPr>
      </w:pPr>
      <w:r>
        <w:rPr>
          <w:rFonts w:eastAsia="Calibri" w:cs="Arial"/>
          <w:sz w:val="22"/>
          <w:szCs w:val="22"/>
          <w:lang w:val="en-GB"/>
        </w:rPr>
        <w:t xml:space="preserve">This strategy will be governed through public health </w:t>
      </w:r>
      <w:r w:rsidR="00F44988">
        <w:rPr>
          <w:rFonts w:eastAsia="Calibri" w:cs="Arial"/>
          <w:sz w:val="22"/>
          <w:szCs w:val="22"/>
          <w:lang w:val="en-GB"/>
        </w:rPr>
        <w:t xml:space="preserve">existing </w:t>
      </w:r>
      <w:r>
        <w:rPr>
          <w:rFonts w:eastAsia="Calibri" w:cs="Arial"/>
          <w:sz w:val="22"/>
          <w:szCs w:val="22"/>
          <w:lang w:val="en-GB"/>
        </w:rPr>
        <w:t>structures</w:t>
      </w:r>
      <w:r w:rsidR="00D7230E">
        <w:rPr>
          <w:rFonts w:eastAsia="Calibri" w:cs="Arial"/>
          <w:sz w:val="22"/>
          <w:szCs w:val="22"/>
          <w:lang w:val="en-GB"/>
        </w:rPr>
        <w:t xml:space="preserve">, </w:t>
      </w:r>
      <w:r w:rsidR="00F44988">
        <w:rPr>
          <w:rFonts w:eastAsia="Calibri" w:cs="Arial"/>
          <w:sz w:val="22"/>
          <w:szCs w:val="22"/>
          <w:lang w:val="en-GB"/>
        </w:rPr>
        <w:t xml:space="preserve">including Finance &amp; Contract Group, individual service contract meetings, and </w:t>
      </w:r>
      <w:r w:rsidR="00D7230E">
        <w:rPr>
          <w:rFonts w:eastAsia="Calibri" w:cs="Arial"/>
          <w:sz w:val="22"/>
          <w:szCs w:val="22"/>
          <w:lang w:val="en-GB"/>
        </w:rPr>
        <w:t>Public Health G</w:t>
      </w:r>
      <w:r>
        <w:rPr>
          <w:rFonts w:eastAsia="Calibri" w:cs="Arial"/>
          <w:sz w:val="22"/>
          <w:szCs w:val="22"/>
          <w:lang w:val="en-GB"/>
        </w:rPr>
        <w:t xml:space="preserve">overnance </w:t>
      </w:r>
      <w:r w:rsidR="00D7230E">
        <w:rPr>
          <w:rFonts w:eastAsia="Calibri" w:cs="Arial"/>
          <w:sz w:val="22"/>
          <w:szCs w:val="22"/>
          <w:lang w:val="en-GB"/>
        </w:rPr>
        <w:t>Group</w:t>
      </w:r>
      <w:r>
        <w:rPr>
          <w:rFonts w:eastAsia="Calibri" w:cs="Arial"/>
          <w:sz w:val="22"/>
          <w:szCs w:val="22"/>
          <w:lang w:val="en-GB"/>
        </w:rPr>
        <w:t>.</w:t>
      </w:r>
    </w:p>
    <w:p w:rsidR="00E039A0" w:rsidRDefault="0060426E" w:rsidP="00BE0F0F">
      <w:pPr>
        <w:overflowPunct/>
        <w:autoSpaceDE/>
        <w:autoSpaceDN/>
        <w:adjustRightInd/>
        <w:spacing w:after="200" w:line="276" w:lineRule="auto"/>
        <w:textAlignment w:val="auto"/>
        <w:rPr>
          <w:rFonts w:cs="Arial"/>
          <w:b/>
          <w:bCs/>
          <w:sz w:val="20"/>
          <w:lang w:val="en-GB"/>
        </w:rPr>
      </w:pPr>
      <w:r>
        <w:rPr>
          <w:rFonts w:eastAsia="Calibri" w:cs="Arial"/>
          <w:sz w:val="22"/>
          <w:szCs w:val="22"/>
          <w:lang w:val="en-GB"/>
        </w:rPr>
        <w:t>An implementation plan, risk register and issues log will be developed to support the delivery of this strategy.</w:t>
      </w:r>
    </w:p>
    <w:p w:rsidR="0060426E" w:rsidRDefault="0060426E" w:rsidP="00EF3D98">
      <w:pPr>
        <w:keepNext/>
        <w:keepLines/>
        <w:overflowPunct/>
        <w:autoSpaceDE/>
        <w:autoSpaceDN/>
        <w:adjustRightInd/>
        <w:spacing w:before="480" w:line="276" w:lineRule="auto"/>
        <w:textAlignment w:val="auto"/>
        <w:outlineLvl w:val="0"/>
        <w:rPr>
          <w:rFonts w:cs="Arial"/>
          <w:b/>
          <w:bCs/>
          <w:sz w:val="20"/>
          <w:lang w:val="en-GB"/>
        </w:rPr>
        <w:sectPr w:rsidR="0060426E" w:rsidSect="00A61629">
          <w:pgSz w:w="11909" w:h="16834"/>
          <w:pgMar w:top="1440" w:right="1440" w:bottom="1440" w:left="1440" w:header="706" w:footer="706" w:gutter="0"/>
          <w:cols w:space="720"/>
          <w:docGrid w:linePitch="326"/>
        </w:sectPr>
      </w:pPr>
    </w:p>
    <w:p w:rsidR="00AF627B" w:rsidRPr="00BE0F0F" w:rsidRDefault="00AF627B" w:rsidP="00AF627B">
      <w:pPr>
        <w:rPr>
          <w:sz w:val="22"/>
        </w:rPr>
      </w:pPr>
      <w:r w:rsidRPr="00F974F5">
        <w:rPr>
          <w:b/>
          <w:sz w:val="22"/>
        </w:rPr>
        <w:lastRenderedPageBreak/>
        <w:t>Appendix</w:t>
      </w:r>
      <w:r w:rsidR="00341D2C" w:rsidRPr="00F974F5">
        <w:rPr>
          <w:b/>
          <w:sz w:val="22"/>
        </w:rPr>
        <w:t xml:space="preserve"> 1</w:t>
      </w:r>
      <w:r w:rsidRPr="00F974F5">
        <w:rPr>
          <w:b/>
          <w:sz w:val="22"/>
        </w:rPr>
        <w:t>:</w:t>
      </w:r>
      <w:r w:rsidRPr="00BE0F0F">
        <w:rPr>
          <w:sz w:val="22"/>
        </w:rPr>
        <w:t xml:space="preserve"> Current Public Health Contract Register, 2017</w:t>
      </w:r>
    </w:p>
    <w:p w:rsidR="007B2270" w:rsidRDefault="007B2270" w:rsidP="007B2270"/>
    <w:p w:rsidR="001D4F05" w:rsidRDefault="001D4F05" w:rsidP="007B2270"/>
    <w:p w:rsidR="007B2270" w:rsidRDefault="007B2270" w:rsidP="007B2270"/>
    <w:p w:rsidR="009E7F1D" w:rsidRDefault="00AD6A28">
      <w:pPr>
        <w:overflowPunct/>
        <w:autoSpaceDE/>
        <w:autoSpaceDN/>
        <w:adjustRightInd/>
        <w:textAlignment w:val="auto"/>
      </w:pPr>
      <w:r>
        <w:rPr>
          <w:noProof/>
          <w:lang w:val="en-GB" w:eastAsia="en-GB"/>
        </w:rPr>
        <w:drawing>
          <wp:inline distT="0" distB="0" distL="0" distR="0" wp14:anchorId="586B698F">
            <wp:extent cx="9352280" cy="5194300"/>
            <wp:effectExtent l="0" t="0" r="127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52280" cy="5194300"/>
                    </a:xfrm>
                    <a:prstGeom prst="rect">
                      <a:avLst/>
                    </a:prstGeom>
                    <a:noFill/>
                  </pic:spPr>
                </pic:pic>
              </a:graphicData>
            </a:graphic>
          </wp:inline>
        </w:drawing>
      </w:r>
    </w:p>
    <w:sectPr w:rsidR="009E7F1D" w:rsidSect="007B2270">
      <w:pgSz w:w="16834" w:h="11909" w:orient="landscape"/>
      <w:pgMar w:top="964" w:right="720" w:bottom="1253" w:left="1440"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2355" w:rsidRDefault="00E12355">
      <w:r>
        <w:separator/>
      </w:r>
    </w:p>
    <w:p w:rsidR="00E12355" w:rsidRDefault="00E12355"/>
  </w:endnote>
  <w:endnote w:type="continuationSeparator" w:id="0">
    <w:p w:rsidR="00E12355" w:rsidRDefault="00E12355">
      <w:r>
        <w:continuationSeparator/>
      </w:r>
    </w:p>
    <w:p w:rsidR="00E12355" w:rsidRDefault="00E123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yntax">
    <w:altName w:val="Syntax"/>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355" w:rsidRDefault="00E12355" w:rsidP="00D92A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12355" w:rsidRDefault="00E12355" w:rsidP="00E643C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9178593"/>
      <w:docPartObj>
        <w:docPartGallery w:val="Page Numbers (Bottom of Page)"/>
        <w:docPartUnique/>
      </w:docPartObj>
    </w:sdtPr>
    <w:sdtEndPr>
      <w:rPr>
        <w:noProof/>
      </w:rPr>
    </w:sdtEndPr>
    <w:sdtContent>
      <w:p w:rsidR="00E12355" w:rsidRDefault="00E12355">
        <w:pPr>
          <w:pStyle w:val="Footer"/>
          <w:jc w:val="right"/>
        </w:pPr>
        <w:r>
          <w:fldChar w:fldCharType="begin"/>
        </w:r>
        <w:r>
          <w:instrText xml:space="preserve"> PAGE   \* MERGEFORMAT </w:instrText>
        </w:r>
        <w:r>
          <w:fldChar w:fldCharType="separate"/>
        </w:r>
        <w:r w:rsidR="00C64715">
          <w:rPr>
            <w:noProof/>
          </w:rPr>
          <w:t>36</w:t>
        </w:r>
        <w:r>
          <w:rPr>
            <w:noProof/>
          </w:rPr>
          <w:fldChar w:fldCharType="end"/>
        </w:r>
      </w:p>
    </w:sdtContent>
  </w:sdt>
  <w:p w:rsidR="00E12355" w:rsidRDefault="00E123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2355" w:rsidRDefault="00E12355">
      <w:r>
        <w:separator/>
      </w:r>
    </w:p>
    <w:p w:rsidR="00E12355" w:rsidRDefault="00E12355"/>
  </w:footnote>
  <w:footnote w:type="continuationSeparator" w:id="0">
    <w:p w:rsidR="00E12355" w:rsidRDefault="00E12355">
      <w:r>
        <w:continuationSeparator/>
      </w:r>
    </w:p>
    <w:p w:rsidR="00E12355" w:rsidRDefault="00E12355"/>
  </w:footnote>
  <w:footnote w:id="1">
    <w:p w:rsidR="00E12355" w:rsidRDefault="00E12355" w:rsidP="00EF3D98">
      <w:pPr>
        <w:pStyle w:val="FootnoteText"/>
      </w:pPr>
      <w:r>
        <w:rPr>
          <w:rStyle w:val="FootnoteReference"/>
        </w:rPr>
        <w:footnoteRef/>
      </w:r>
      <w:proofErr w:type="gramStart"/>
      <w:r>
        <w:t>The new public health role of Local Authorities.</w:t>
      </w:r>
      <w:proofErr w:type="gramEnd"/>
      <w:r>
        <w:t xml:space="preserve"> </w:t>
      </w:r>
      <w:proofErr w:type="gramStart"/>
      <w:r>
        <w:t>Department of Health (2012).</w:t>
      </w:r>
      <w:proofErr w:type="gramEnd"/>
      <w:r>
        <w:t xml:space="preserve"> </w:t>
      </w:r>
      <w:hyperlink r:id="rId1" w:history="1">
        <w:r w:rsidRPr="004C445F">
          <w:rPr>
            <w:rStyle w:val="Hyperlink"/>
          </w:rPr>
          <w:t>https://www.gov.uk/government/uploads/system/uploads/attachment_data/file/127045/Public-health-role-of-local-authorities-factsheet.pdf.pdf</w:t>
        </w:r>
      </w:hyperlink>
      <w:r>
        <w:t xml:space="preserve"> </w:t>
      </w:r>
    </w:p>
  </w:footnote>
  <w:footnote w:id="2">
    <w:p w:rsidR="00E12355" w:rsidRDefault="00E12355">
      <w:pPr>
        <w:pStyle w:val="FootnoteText"/>
      </w:pPr>
      <w:r>
        <w:rPr>
          <w:rStyle w:val="FootnoteReference"/>
        </w:rPr>
        <w:footnoteRef/>
      </w:r>
      <w:r>
        <w:t xml:space="preserve"> </w:t>
      </w:r>
      <w:hyperlink r:id="rId2" w:history="1">
        <w:r w:rsidRPr="008A719A">
          <w:rPr>
            <w:rStyle w:val="Hyperlink"/>
          </w:rPr>
          <w:t>https://www.gov.uk/government/uploads/system/uploads/attachment_data/file/499614/PH_allocations_and_conditions_2016-17_A.pdf</w:t>
        </w:r>
      </w:hyperlink>
      <w:r>
        <w:t xml:space="preserve"> </w:t>
      </w:r>
    </w:p>
  </w:footnote>
  <w:footnote w:id="3">
    <w:p w:rsidR="00E12355" w:rsidRDefault="00E12355">
      <w:pPr>
        <w:pStyle w:val="FootnoteText"/>
      </w:pPr>
      <w:r>
        <w:rPr>
          <w:rStyle w:val="FootnoteReference"/>
        </w:rPr>
        <w:footnoteRef/>
      </w:r>
      <w:r>
        <w:rPr>
          <w:rStyle w:val="FootnoteReference"/>
        </w:rPr>
        <w:footnoteRef/>
      </w:r>
      <w:r>
        <w:t xml:space="preserve"> NICE. </w:t>
      </w:r>
      <w:proofErr w:type="gramStart"/>
      <w:r>
        <w:t>Tobacco Return on Investment Tool.</w:t>
      </w:r>
      <w:proofErr w:type="gramEnd"/>
      <w:r>
        <w:t xml:space="preserve"> </w:t>
      </w:r>
      <w:hyperlink r:id="rId3" w:history="1">
        <w:r w:rsidRPr="00995F0B">
          <w:rPr>
            <w:rStyle w:val="Hyperlink"/>
          </w:rPr>
          <w:t>https://www.nice.org.uk/about/what-we-do/into-practice/return-on-investment-tools/tobacco-return-on-investment-tool</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355" w:rsidRDefault="00E12355" w:rsidP="003E5F87">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4FC4F20"/>
    <w:lvl w:ilvl="0">
      <w:numFmt w:val="decimal"/>
      <w:pStyle w:val="Level1"/>
      <w:lvlText w:val="*"/>
      <w:lvlJc w:val="left"/>
    </w:lvl>
  </w:abstractNum>
  <w:abstractNum w:abstractNumId="1">
    <w:nsid w:val="021A42B8"/>
    <w:multiLevelType w:val="hybridMultilevel"/>
    <w:tmpl w:val="8390C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3742C3"/>
    <w:multiLevelType w:val="hybridMultilevel"/>
    <w:tmpl w:val="EA52FA4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6ED5C5E"/>
    <w:multiLevelType w:val="hybridMultilevel"/>
    <w:tmpl w:val="97785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77129E9"/>
    <w:multiLevelType w:val="hybridMultilevel"/>
    <w:tmpl w:val="268AC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9BD54F7"/>
    <w:multiLevelType w:val="hybridMultilevel"/>
    <w:tmpl w:val="694616A6"/>
    <w:lvl w:ilvl="0" w:tplc="2C0AD412">
      <w:start w:val="24"/>
      <w:numFmt w:val="bullet"/>
      <w:lvlText w:val=""/>
      <w:lvlJc w:val="left"/>
      <w:pPr>
        <w:ind w:left="1211" w:hanging="360"/>
      </w:pPr>
      <w:rPr>
        <w:rFonts w:ascii="Symbol" w:eastAsiaTheme="minorHAnsi" w:hAnsi="Symbol" w:cs="Courier New"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6">
    <w:nsid w:val="0C9C6B8C"/>
    <w:multiLevelType w:val="hybridMultilevel"/>
    <w:tmpl w:val="70DC4B0A"/>
    <w:lvl w:ilvl="0" w:tplc="9E34D99A">
      <w:numFmt w:val="bullet"/>
      <w:lvlText w:val="•"/>
      <w:lvlJc w:val="left"/>
      <w:pPr>
        <w:ind w:left="1008" w:hanging="360"/>
      </w:pPr>
      <w:rPr>
        <w:rFonts w:ascii="Arial" w:eastAsia="Calibri" w:hAnsi="Arial" w:cs="Aria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7">
    <w:nsid w:val="0CCB739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EC24AF1"/>
    <w:multiLevelType w:val="hybridMultilevel"/>
    <w:tmpl w:val="8AEAD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0373FCE"/>
    <w:multiLevelType w:val="hybridMultilevel"/>
    <w:tmpl w:val="14880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2C66DEC"/>
    <w:multiLevelType w:val="hybridMultilevel"/>
    <w:tmpl w:val="EC926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5C1413B"/>
    <w:multiLevelType w:val="hybridMultilevel"/>
    <w:tmpl w:val="A56803EC"/>
    <w:lvl w:ilvl="0" w:tplc="70641E0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8D71FBC"/>
    <w:multiLevelType w:val="hybridMultilevel"/>
    <w:tmpl w:val="0C1CEC4E"/>
    <w:lvl w:ilvl="0" w:tplc="EA066CE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18ED62BF"/>
    <w:multiLevelType w:val="hybridMultilevel"/>
    <w:tmpl w:val="147E6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9E764E6"/>
    <w:multiLevelType w:val="multilevel"/>
    <w:tmpl w:val="6D12E17A"/>
    <w:styleLink w:val="Bullet"/>
    <w:lvl w:ilvl="0">
      <w:start w:val="1"/>
      <w:numFmt w:val="bullet"/>
      <w:lvlText w:val=""/>
      <w:lvlJc w:val="left"/>
      <w:pPr>
        <w:ind w:left="1080" w:hanging="360"/>
      </w:pPr>
      <w:rPr>
        <w:rFonts w:ascii="Arial" w:hAnsi="Arial" w:hint="default"/>
        <w:color w:val="C00000"/>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5">
    <w:nsid w:val="20DD6CF9"/>
    <w:multiLevelType w:val="hybridMultilevel"/>
    <w:tmpl w:val="30DA7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5030B5E"/>
    <w:multiLevelType w:val="hybridMultilevel"/>
    <w:tmpl w:val="B202A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55E50B5"/>
    <w:multiLevelType w:val="hybridMultilevel"/>
    <w:tmpl w:val="0C44F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65E2A15"/>
    <w:multiLevelType w:val="hybridMultilevel"/>
    <w:tmpl w:val="20E07722"/>
    <w:lvl w:ilvl="0" w:tplc="0D9EED0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9AD0EAF"/>
    <w:multiLevelType w:val="hybridMultilevel"/>
    <w:tmpl w:val="16FAE3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B4E12EE"/>
    <w:multiLevelType w:val="hybridMultilevel"/>
    <w:tmpl w:val="239C7B0C"/>
    <w:lvl w:ilvl="0" w:tplc="933CED66">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2B7724BD"/>
    <w:multiLevelType w:val="hybridMultilevel"/>
    <w:tmpl w:val="3C74B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F417F4D"/>
    <w:multiLevelType w:val="hybridMultilevel"/>
    <w:tmpl w:val="0C5C775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nsid w:val="2F94022A"/>
    <w:multiLevelType w:val="multilevel"/>
    <w:tmpl w:val="56EC36DE"/>
    <w:lvl w:ilvl="0">
      <w:start w:val="1"/>
      <w:numFmt w:val="decimal"/>
      <w:lvlText w:val="%1."/>
      <w:lvlJc w:val="left"/>
      <w:pPr>
        <w:tabs>
          <w:tab w:val="num" w:pos="851"/>
        </w:tabs>
        <w:ind w:left="851" w:hanging="851"/>
      </w:pPr>
      <w:rPr>
        <w:rFonts w:ascii="Arial" w:eastAsia="Times New Roman" w:hAnsi="Arial" w:cs="Arial"/>
      </w:rPr>
    </w:lvl>
    <w:lvl w:ilvl="1">
      <w:start w:val="1"/>
      <w:numFmt w:val="decimal"/>
      <w:lvlText w:val="%1.%2"/>
      <w:lvlJc w:val="left"/>
      <w:pPr>
        <w:tabs>
          <w:tab w:val="num" w:pos="851"/>
        </w:tabs>
        <w:ind w:left="851" w:hanging="851"/>
      </w:pPr>
    </w:lvl>
    <w:lvl w:ilvl="2">
      <w:start w:val="1"/>
      <w:numFmt w:val="decimal"/>
      <w:lvlText w:val="%1.%2.%3"/>
      <w:lvlJc w:val="left"/>
      <w:pPr>
        <w:tabs>
          <w:tab w:val="num" w:pos="851"/>
        </w:tabs>
        <w:ind w:left="851" w:hanging="851"/>
      </w:pPr>
    </w:lvl>
    <w:lvl w:ilvl="3">
      <w:start w:val="1"/>
      <w:numFmt w:val="decimal"/>
      <w:lvlText w:val="(%4)"/>
      <w:lvlJc w:val="left"/>
      <w:pPr>
        <w:tabs>
          <w:tab w:val="num" w:pos="1211"/>
        </w:tabs>
        <w:ind w:left="284" w:firstLine="567"/>
      </w:pPr>
    </w:lvl>
    <w:lvl w:ilvl="4">
      <w:start w:val="1"/>
      <w:numFmt w:val="bullet"/>
      <w:lvlText w:val=""/>
      <w:lvlJc w:val="left"/>
      <w:pPr>
        <w:tabs>
          <w:tab w:val="num" w:pos="1267"/>
        </w:tabs>
        <w:ind w:left="1134" w:hanging="227"/>
      </w:pPr>
      <w:rPr>
        <w:rFonts w:ascii="Symbol" w:hAnsi="Symbol" w:hint="default"/>
      </w:rPr>
    </w:lvl>
    <w:lvl w:ilvl="5">
      <w:start w:val="1"/>
      <w:numFmt w:val="none"/>
      <w:lvlText w:val="%6"/>
      <w:lvlJc w:val="left"/>
      <w:pPr>
        <w:tabs>
          <w:tab w:val="num" w:pos="851"/>
        </w:tabs>
        <w:ind w:left="851" w:hanging="851"/>
      </w:pPr>
    </w:lvl>
    <w:lvl w:ilvl="6">
      <w:start w:val="1"/>
      <w:numFmt w:val="decimal"/>
      <w:lvlText w:val="%7"/>
      <w:lvlJc w:val="left"/>
      <w:pPr>
        <w:tabs>
          <w:tab w:val="num" w:pos="0"/>
        </w:tabs>
        <w:ind w:left="0" w:firstLine="0"/>
      </w:pPr>
    </w:lvl>
    <w:lvl w:ilvl="7">
      <w:start w:val="1"/>
      <w:numFmt w:val="decimal"/>
      <w:lvlText w:val="10.%8"/>
      <w:lvlJc w:val="left"/>
      <w:pPr>
        <w:tabs>
          <w:tab w:val="num" w:pos="0"/>
        </w:tabs>
        <w:ind w:left="0" w:firstLine="0"/>
      </w:pPr>
    </w:lvl>
    <w:lvl w:ilvl="8">
      <w:numFmt w:val="decimal"/>
      <w:lvlText w:val=""/>
      <w:lvlJc w:val="left"/>
      <w:pPr>
        <w:tabs>
          <w:tab w:val="num" w:pos="0"/>
        </w:tabs>
        <w:ind w:left="0" w:firstLine="0"/>
      </w:pPr>
    </w:lvl>
  </w:abstractNum>
  <w:abstractNum w:abstractNumId="24">
    <w:nsid w:val="2FCD1320"/>
    <w:multiLevelType w:val="hybridMultilevel"/>
    <w:tmpl w:val="EF0AE4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47822B7"/>
    <w:multiLevelType w:val="hybridMultilevel"/>
    <w:tmpl w:val="DCDC9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9A662D4"/>
    <w:multiLevelType w:val="hybridMultilevel"/>
    <w:tmpl w:val="2FCAA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A505420"/>
    <w:multiLevelType w:val="multilevel"/>
    <w:tmpl w:val="DC78A168"/>
    <w:lvl w:ilvl="0">
      <w:start w:val="63"/>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3AC67858"/>
    <w:multiLevelType w:val="hybridMultilevel"/>
    <w:tmpl w:val="24682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B4E59CB"/>
    <w:multiLevelType w:val="hybridMultilevel"/>
    <w:tmpl w:val="4A90D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C1649D6"/>
    <w:multiLevelType w:val="hybridMultilevel"/>
    <w:tmpl w:val="D47C1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E3777EF"/>
    <w:multiLevelType w:val="hybridMultilevel"/>
    <w:tmpl w:val="97BA3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1DA114A"/>
    <w:multiLevelType w:val="hybridMultilevel"/>
    <w:tmpl w:val="F5E01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2463E7F"/>
    <w:multiLevelType w:val="hybridMultilevel"/>
    <w:tmpl w:val="A626A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B460F1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05D43E6"/>
    <w:multiLevelType w:val="hybridMultilevel"/>
    <w:tmpl w:val="2BFCDC6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nsid w:val="51CE0E37"/>
    <w:multiLevelType w:val="hybridMultilevel"/>
    <w:tmpl w:val="1CD68764"/>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
    <w:nsid w:val="5A972932"/>
    <w:multiLevelType w:val="hybridMultilevel"/>
    <w:tmpl w:val="26585B6E"/>
    <w:lvl w:ilvl="0" w:tplc="933CED66">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D071391"/>
    <w:multiLevelType w:val="hybridMultilevel"/>
    <w:tmpl w:val="CFA0D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D0F4888"/>
    <w:multiLevelType w:val="hybridMultilevel"/>
    <w:tmpl w:val="88F6D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0A40772"/>
    <w:multiLevelType w:val="hybridMultilevel"/>
    <w:tmpl w:val="54D290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7E844EA"/>
    <w:multiLevelType w:val="hybridMultilevel"/>
    <w:tmpl w:val="BA027072"/>
    <w:lvl w:ilvl="0" w:tplc="D8C24BD8">
      <w:start w:val="6"/>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8384D34"/>
    <w:multiLevelType w:val="hybridMultilevel"/>
    <w:tmpl w:val="E5B26CB2"/>
    <w:lvl w:ilvl="0" w:tplc="D8C24BD8">
      <w:start w:val="6"/>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pStyle w:val="Level1"/>
        <w:lvlText w:val=""/>
        <w:legacy w:legacy="1" w:legacySpace="120" w:legacyIndent="360"/>
        <w:lvlJc w:val="left"/>
        <w:pPr>
          <w:ind w:left="360" w:hanging="360"/>
        </w:pPr>
        <w:rPr>
          <w:rFonts w:ascii="Symbol" w:hAnsi="Symbol" w:hint="default"/>
        </w:rPr>
      </w:lvl>
    </w:lvlOverride>
  </w:num>
  <w:num w:numId="2">
    <w:abstractNumId w:val="7"/>
  </w:num>
  <w:num w:numId="3">
    <w:abstractNumId w:val="14"/>
  </w:num>
  <w:num w:numId="4">
    <w:abstractNumId w:val="40"/>
  </w:num>
  <w:num w:numId="5">
    <w:abstractNumId w:val="13"/>
  </w:num>
  <w:num w:numId="6">
    <w:abstractNumId w:val="33"/>
  </w:num>
  <w:num w:numId="7">
    <w:abstractNumId w:val="9"/>
  </w:num>
  <w:num w:numId="8">
    <w:abstractNumId w:val="25"/>
  </w:num>
  <w:num w:numId="9">
    <w:abstractNumId w:val="6"/>
  </w:num>
  <w:num w:numId="10">
    <w:abstractNumId w:val="20"/>
  </w:num>
  <w:num w:numId="11">
    <w:abstractNumId w:val="37"/>
  </w:num>
  <w:num w:numId="12">
    <w:abstractNumId w:val="8"/>
  </w:num>
  <w:num w:numId="13">
    <w:abstractNumId w:val="42"/>
  </w:num>
  <w:num w:numId="14">
    <w:abstractNumId w:val="41"/>
  </w:num>
  <w:num w:numId="15">
    <w:abstractNumId w:val="15"/>
  </w:num>
  <w:num w:numId="16">
    <w:abstractNumId w:val="4"/>
  </w:num>
  <w:num w:numId="17">
    <w:abstractNumId w:val="1"/>
  </w:num>
  <w:num w:numId="18">
    <w:abstractNumId w:val="16"/>
  </w:num>
  <w:num w:numId="19">
    <w:abstractNumId w:val="29"/>
  </w:num>
  <w:num w:numId="20">
    <w:abstractNumId w:val="32"/>
  </w:num>
  <w:num w:numId="21">
    <w:abstractNumId w:val="3"/>
  </w:num>
  <w:num w:numId="22">
    <w:abstractNumId w:val="17"/>
  </w:num>
  <w:num w:numId="23">
    <w:abstractNumId w:val="26"/>
  </w:num>
  <w:num w:numId="24">
    <w:abstractNumId w:val="28"/>
  </w:num>
  <w:num w:numId="25">
    <w:abstractNumId w:val="10"/>
  </w:num>
  <w:num w:numId="26">
    <w:abstractNumId w:val="19"/>
  </w:num>
  <w:num w:numId="27">
    <w:abstractNumId w:val="2"/>
  </w:num>
  <w:num w:numId="28">
    <w:abstractNumId w:val="30"/>
  </w:num>
  <w:num w:numId="29">
    <w:abstractNumId w:val="35"/>
  </w:num>
  <w:num w:numId="30">
    <w:abstractNumId w:val="23"/>
  </w:num>
  <w:num w:numId="31">
    <w:abstractNumId w:val="39"/>
  </w:num>
  <w:num w:numId="32">
    <w:abstractNumId w:val="12"/>
  </w:num>
  <w:num w:numId="33">
    <w:abstractNumId w:val="21"/>
  </w:num>
  <w:num w:numId="34">
    <w:abstractNumId w:val="31"/>
  </w:num>
  <w:num w:numId="35">
    <w:abstractNumId w:val="11"/>
  </w:num>
  <w:num w:numId="36">
    <w:abstractNumId w:val="24"/>
  </w:num>
  <w:num w:numId="37">
    <w:abstractNumId w:val="5"/>
  </w:num>
  <w:num w:numId="38">
    <w:abstractNumId w:val="22"/>
  </w:num>
  <w:num w:numId="39">
    <w:abstractNumId w:val="34"/>
  </w:num>
  <w:num w:numId="40">
    <w:abstractNumId w:val="18"/>
  </w:num>
  <w:num w:numId="41">
    <w:abstractNumId w:val="36"/>
  </w:num>
  <w:num w:numId="42">
    <w:abstractNumId w:val="38"/>
  </w:num>
  <w:num w:numId="43">
    <w:abstractNumId w:val="2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9697"/>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1EA"/>
    <w:rsid w:val="00000F21"/>
    <w:rsid w:val="00016EE7"/>
    <w:rsid w:val="00051A2B"/>
    <w:rsid w:val="000613F5"/>
    <w:rsid w:val="00061782"/>
    <w:rsid w:val="00077CF5"/>
    <w:rsid w:val="0008054C"/>
    <w:rsid w:val="00092B21"/>
    <w:rsid w:val="000A1B52"/>
    <w:rsid w:val="000B08DA"/>
    <w:rsid w:val="000B0F4B"/>
    <w:rsid w:val="000B7410"/>
    <w:rsid w:val="000C06AA"/>
    <w:rsid w:val="000C2852"/>
    <w:rsid w:val="000C4B41"/>
    <w:rsid w:val="000E1F5E"/>
    <w:rsid w:val="000E54FA"/>
    <w:rsid w:val="000E7FA8"/>
    <w:rsid w:val="000F3172"/>
    <w:rsid w:val="00107065"/>
    <w:rsid w:val="001121EB"/>
    <w:rsid w:val="00112ED8"/>
    <w:rsid w:val="0012170A"/>
    <w:rsid w:val="00134479"/>
    <w:rsid w:val="001400F7"/>
    <w:rsid w:val="00140DF2"/>
    <w:rsid w:val="00157E57"/>
    <w:rsid w:val="00176A93"/>
    <w:rsid w:val="00180A55"/>
    <w:rsid w:val="0018337B"/>
    <w:rsid w:val="001A1093"/>
    <w:rsid w:val="001A26D1"/>
    <w:rsid w:val="001B0AE5"/>
    <w:rsid w:val="001B1DAB"/>
    <w:rsid w:val="001C18A4"/>
    <w:rsid w:val="001C3246"/>
    <w:rsid w:val="001C77D6"/>
    <w:rsid w:val="001D4F05"/>
    <w:rsid w:val="001D51C5"/>
    <w:rsid w:val="001D7E42"/>
    <w:rsid w:val="001E0739"/>
    <w:rsid w:val="001E476E"/>
    <w:rsid w:val="00202F68"/>
    <w:rsid w:val="0022239C"/>
    <w:rsid w:val="002231EA"/>
    <w:rsid w:val="00233FA9"/>
    <w:rsid w:val="00237CB9"/>
    <w:rsid w:val="00240EF6"/>
    <w:rsid w:val="002441C0"/>
    <w:rsid w:val="00244EA8"/>
    <w:rsid w:val="002644D6"/>
    <w:rsid w:val="002645F9"/>
    <w:rsid w:val="002749E0"/>
    <w:rsid w:val="002752B5"/>
    <w:rsid w:val="0029346B"/>
    <w:rsid w:val="002A7947"/>
    <w:rsid w:val="002B5CB2"/>
    <w:rsid w:val="002B618D"/>
    <w:rsid w:val="002C0AE2"/>
    <w:rsid w:val="002C240A"/>
    <w:rsid w:val="002C4C70"/>
    <w:rsid w:val="002C62F9"/>
    <w:rsid w:val="002D5734"/>
    <w:rsid w:val="002F15EB"/>
    <w:rsid w:val="0031132F"/>
    <w:rsid w:val="00312D04"/>
    <w:rsid w:val="00317A29"/>
    <w:rsid w:val="00325C3B"/>
    <w:rsid w:val="0033776B"/>
    <w:rsid w:val="00340162"/>
    <w:rsid w:val="00341D2C"/>
    <w:rsid w:val="00347EC0"/>
    <w:rsid w:val="003509B1"/>
    <w:rsid w:val="003618A0"/>
    <w:rsid w:val="003640AB"/>
    <w:rsid w:val="00374862"/>
    <w:rsid w:val="00380A37"/>
    <w:rsid w:val="00380D0D"/>
    <w:rsid w:val="00387BFD"/>
    <w:rsid w:val="003A1CDD"/>
    <w:rsid w:val="003B0A44"/>
    <w:rsid w:val="003C0310"/>
    <w:rsid w:val="003C0850"/>
    <w:rsid w:val="003C7B02"/>
    <w:rsid w:val="003D0094"/>
    <w:rsid w:val="003D046C"/>
    <w:rsid w:val="003D697B"/>
    <w:rsid w:val="003E438F"/>
    <w:rsid w:val="003E5F87"/>
    <w:rsid w:val="003F5F07"/>
    <w:rsid w:val="003F66EB"/>
    <w:rsid w:val="0044627B"/>
    <w:rsid w:val="00464E63"/>
    <w:rsid w:val="0048085E"/>
    <w:rsid w:val="00490CEF"/>
    <w:rsid w:val="004B17B8"/>
    <w:rsid w:val="004B25B6"/>
    <w:rsid w:val="004B2AC1"/>
    <w:rsid w:val="004C6348"/>
    <w:rsid w:val="004C7EB4"/>
    <w:rsid w:val="004E1140"/>
    <w:rsid w:val="004E36A3"/>
    <w:rsid w:val="004F2DB8"/>
    <w:rsid w:val="004F353D"/>
    <w:rsid w:val="00500068"/>
    <w:rsid w:val="00507C4A"/>
    <w:rsid w:val="0052469B"/>
    <w:rsid w:val="00533669"/>
    <w:rsid w:val="00563D1F"/>
    <w:rsid w:val="0056534F"/>
    <w:rsid w:val="00574EA1"/>
    <w:rsid w:val="0058030D"/>
    <w:rsid w:val="00584A16"/>
    <w:rsid w:val="0058652A"/>
    <w:rsid w:val="00587E31"/>
    <w:rsid w:val="005A1BC0"/>
    <w:rsid w:val="005A5FE2"/>
    <w:rsid w:val="005B1625"/>
    <w:rsid w:val="005B1D2B"/>
    <w:rsid w:val="005B3404"/>
    <w:rsid w:val="005B41A9"/>
    <w:rsid w:val="005B4FC7"/>
    <w:rsid w:val="005B765B"/>
    <w:rsid w:val="005C3BA5"/>
    <w:rsid w:val="005C5BD9"/>
    <w:rsid w:val="005C66FC"/>
    <w:rsid w:val="005D7052"/>
    <w:rsid w:val="005E5078"/>
    <w:rsid w:val="005F0235"/>
    <w:rsid w:val="005F27F3"/>
    <w:rsid w:val="0060426E"/>
    <w:rsid w:val="00606D44"/>
    <w:rsid w:val="00623551"/>
    <w:rsid w:val="0062370E"/>
    <w:rsid w:val="00626BC6"/>
    <w:rsid w:val="006408E5"/>
    <w:rsid w:val="00642D4D"/>
    <w:rsid w:val="00645AFB"/>
    <w:rsid w:val="00646F60"/>
    <w:rsid w:val="00654CC3"/>
    <w:rsid w:val="00665AA2"/>
    <w:rsid w:val="006728E8"/>
    <w:rsid w:val="00690D45"/>
    <w:rsid w:val="00692630"/>
    <w:rsid w:val="006A01E3"/>
    <w:rsid w:val="006A3250"/>
    <w:rsid w:val="006B2A52"/>
    <w:rsid w:val="006D7CAE"/>
    <w:rsid w:val="006E00D6"/>
    <w:rsid w:val="00700680"/>
    <w:rsid w:val="007049E1"/>
    <w:rsid w:val="00716AF9"/>
    <w:rsid w:val="00723282"/>
    <w:rsid w:val="00723364"/>
    <w:rsid w:val="00723418"/>
    <w:rsid w:val="00732DDD"/>
    <w:rsid w:val="0073514B"/>
    <w:rsid w:val="007479C3"/>
    <w:rsid w:val="007513AD"/>
    <w:rsid w:val="00752111"/>
    <w:rsid w:val="00760F5E"/>
    <w:rsid w:val="00761C40"/>
    <w:rsid w:val="007656E3"/>
    <w:rsid w:val="0076651B"/>
    <w:rsid w:val="007666CA"/>
    <w:rsid w:val="00770D81"/>
    <w:rsid w:val="00771C0C"/>
    <w:rsid w:val="00780EB8"/>
    <w:rsid w:val="00792287"/>
    <w:rsid w:val="007939FE"/>
    <w:rsid w:val="007B1BF1"/>
    <w:rsid w:val="007B2270"/>
    <w:rsid w:val="007B2AA6"/>
    <w:rsid w:val="007D2864"/>
    <w:rsid w:val="007D5E84"/>
    <w:rsid w:val="007E0A2B"/>
    <w:rsid w:val="007E34A4"/>
    <w:rsid w:val="00802567"/>
    <w:rsid w:val="008041AD"/>
    <w:rsid w:val="0080643D"/>
    <w:rsid w:val="00806A49"/>
    <w:rsid w:val="00823F6A"/>
    <w:rsid w:val="008315B6"/>
    <w:rsid w:val="0083566B"/>
    <w:rsid w:val="0084757B"/>
    <w:rsid w:val="0085481F"/>
    <w:rsid w:val="00875832"/>
    <w:rsid w:val="00893B48"/>
    <w:rsid w:val="00896C73"/>
    <w:rsid w:val="008B5459"/>
    <w:rsid w:val="008C1A6F"/>
    <w:rsid w:val="008E28BA"/>
    <w:rsid w:val="008E5228"/>
    <w:rsid w:val="008F3833"/>
    <w:rsid w:val="008F4F69"/>
    <w:rsid w:val="008F61A1"/>
    <w:rsid w:val="0090186A"/>
    <w:rsid w:val="00902E75"/>
    <w:rsid w:val="0093230F"/>
    <w:rsid w:val="009346EB"/>
    <w:rsid w:val="00943AB2"/>
    <w:rsid w:val="00961995"/>
    <w:rsid w:val="00964728"/>
    <w:rsid w:val="00995761"/>
    <w:rsid w:val="009A5EBE"/>
    <w:rsid w:val="009B6AED"/>
    <w:rsid w:val="009C0F91"/>
    <w:rsid w:val="009C4A54"/>
    <w:rsid w:val="009E7F1D"/>
    <w:rsid w:val="009F5424"/>
    <w:rsid w:val="009F5BBD"/>
    <w:rsid w:val="00A14F8A"/>
    <w:rsid w:val="00A20381"/>
    <w:rsid w:val="00A22D2D"/>
    <w:rsid w:val="00A337FE"/>
    <w:rsid w:val="00A42924"/>
    <w:rsid w:val="00A5132F"/>
    <w:rsid w:val="00A559D7"/>
    <w:rsid w:val="00A5606C"/>
    <w:rsid w:val="00A57069"/>
    <w:rsid w:val="00A61629"/>
    <w:rsid w:val="00A72B9E"/>
    <w:rsid w:val="00A748B0"/>
    <w:rsid w:val="00A778E0"/>
    <w:rsid w:val="00A82725"/>
    <w:rsid w:val="00A87C9D"/>
    <w:rsid w:val="00A96E09"/>
    <w:rsid w:val="00AC54C8"/>
    <w:rsid w:val="00AC5A1F"/>
    <w:rsid w:val="00AC75E4"/>
    <w:rsid w:val="00AD663C"/>
    <w:rsid w:val="00AD6A28"/>
    <w:rsid w:val="00AE2378"/>
    <w:rsid w:val="00AF234B"/>
    <w:rsid w:val="00AF627B"/>
    <w:rsid w:val="00B11B1C"/>
    <w:rsid w:val="00B13B38"/>
    <w:rsid w:val="00B30606"/>
    <w:rsid w:val="00B3252D"/>
    <w:rsid w:val="00B35913"/>
    <w:rsid w:val="00B41B96"/>
    <w:rsid w:val="00B42B3F"/>
    <w:rsid w:val="00B53A05"/>
    <w:rsid w:val="00B63752"/>
    <w:rsid w:val="00B80001"/>
    <w:rsid w:val="00B86D6F"/>
    <w:rsid w:val="00BA06D1"/>
    <w:rsid w:val="00BA2ACC"/>
    <w:rsid w:val="00BB1140"/>
    <w:rsid w:val="00BB19C9"/>
    <w:rsid w:val="00BC2F7C"/>
    <w:rsid w:val="00BC75A1"/>
    <w:rsid w:val="00BD0CFD"/>
    <w:rsid w:val="00BD6D5B"/>
    <w:rsid w:val="00BE0F0F"/>
    <w:rsid w:val="00BE138E"/>
    <w:rsid w:val="00BE16BF"/>
    <w:rsid w:val="00C122F6"/>
    <w:rsid w:val="00C12D9C"/>
    <w:rsid w:val="00C131FA"/>
    <w:rsid w:val="00C25814"/>
    <w:rsid w:val="00C27D51"/>
    <w:rsid w:val="00C332FF"/>
    <w:rsid w:val="00C418BF"/>
    <w:rsid w:val="00C55C10"/>
    <w:rsid w:val="00C608F6"/>
    <w:rsid w:val="00C63EEE"/>
    <w:rsid w:val="00C64715"/>
    <w:rsid w:val="00C715F4"/>
    <w:rsid w:val="00C731AE"/>
    <w:rsid w:val="00CA6C5F"/>
    <w:rsid w:val="00CB21B5"/>
    <w:rsid w:val="00CB56CC"/>
    <w:rsid w:val="00CC5A34"/>
    <w:rsid w:val="00CF2B9B"/>
    <w:rsid w:val="00CF3B34"/>
    <w:rsid w:val="00D0002D"/>
    <w:rsid w:val="00D07AA1"/>
    <w:rsid w:val="00D15F76"/>
    <w:rsid w:val="00D20DA0"/>
    <w:rsid w:val="00D228D0"/>
    <w:rsid w:val="00D248E6"/>
    <w:rsid w:val="00D268F6"/>
    <w:rsid w:val="00D32F5F"/>
    <w:rsid w:val="00D37713"/>
    <w:rsid w:val="00D41808"/>
    <w:rsid w:val="00D56989"/>
    <w:rsid w:val="00D60C50"/>
    <w:rsid w:val="00D63104"/>
    <w:rsid w:val="00D7230E"/>
    <w:rsid w:val="00D92A10"/>
    <w:rsid w:val="00DA3322"/>
    <w:rsid w:val="00DB3E5A"/>
    <w:rsid w:val="00DB432D"/>
    <w:rsid w:val="00DB592F"/>
    <w:rsid w:val="00DD14B4"/>
    <w:rsid w:val="00DE7494"/>
    <w:rsid w:val="00DF2A7D"/>
    <w:rsid w:val="00DF5971"/>
    <w:rsid w:val="00DF7680"/>
    <w:rsid w:val="00E039A0"/>
    <w:rsid w:val="00E07104"/>
    <w:rsid w:val="00E12355"/>
    <w:rsid w:val="00E1396E"/>
    <w:rsid w:val="00E1653D"/>
    <w:rsid w:val="00E1797B"/>
    <w:rsid w:val="00E2139A"/>
    <w:rsid w:val="00E217B9"/>
    <w:rsid w:val="00E3066C"/>
    <w:rsid w:val="00E40CB1"/>
    <w:rsid w:val="00E41A95"/>
    <w:rsid w:val="00E44DAF"/>
    <w:rsid w:val="00E5211E"/>
    <w:rsid w:val="00E535C8"/>
    <w:rsid w:val="00E54C87"/>
    <w:rsid w:val="00E643C9"/>
    <w:rsid w:val="00E74A31"/>
    <w:rsid w:val="00E81803"/>
    <w:rsid w:val="00E918C4"/>
    <w:rsid w:val="00E96392"/>
    <w:rsid w:val="00E965E6"/>
    <w:rsid w:val="00EA1554"/>
    <w:rsid w:val="00EE56A1"/>
    <w:rsid w:val="00EF0B1B"/>
    <w:rsid w:val="00EF3D98"/>
    <w:rsid w:val="00F03AD9"/>
    <w:rsid w:val="00F04060"/>
    <w:rsid w:val="00F05207"/>
    <w:rsid w:val="00F216E9"/>
    <w:rsid w:val="00F30EDF"/>
    <w:rsid w:val="00F349BF"/>
    <w:rsid w:val="00F361FF"/>
    <w:rsid w:val="00F44988"/>
    <w:rsid w:val="00F52675"/>
    <w:rsid w:val="00F604BC"/>
    <w:rsid w:val="00F60896"/>
    <w:rsid w:val="00F712C1"/>
    <w:rsid w:val="00F71CA7"/>
    <w:rsid w:val="00F9518F"/>
    <w:rsid w:val="00F95D38"/>
    <w:rsid w:val="00F974F5"/>
    <w:rsid w:val="00FB5E12"/>
    <w:rsid w:val="00FC10D5"/>
    <w:rsid w:val="00FC22C9"/>
    <w:rsid w:val="00FC5D91"/>
    <w:rsid w:val="00FC601A"/>
    <w:rsid w:val="00FD1754"/>
    <w:rsid w:val="00FD255E"/>
    <w:rsid w:val="00FD50D0"/>
    <w:rsid w:val="00FE37DA"/>
    <w:rsid w:val="00FE39A1"/>
    <w:rsid w:val="00FE4E67"/>
    <w:rsid w:val="00FF282B"/>
    <w:rsid w:val="00FF49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uiPriority="10" w:qFormat="1"/>
    <w:lsdException w:name="Subtitle" w:uiPriority="11" w:qFormat="1"/>
    <w:lsdException w:name="Hyperlink" w:uiPriority="99"/>
    <w:lsdException w:name="FollowedHyperlink" w:uiPriority="99"/>
    <w:lsdException w:name="Strong" w:qFormat="1"/>
    <w:lsdException w:name="Emphasis" w:qFormat="1"/>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3D98"/>
    <w:pPr>
      <w:overflowPunct w:val="0"/>
      <w:autoSpaceDE w:val="0"/>
      <w:autoSpaceDN w:val="0"/>
      <w:adjustRightInd w:val="0"/>
      <w:textAlignment w:val="baseline"/>
    </w:pPr>
    <w:rPr>
      <w:rFonts w:ascii="Arial" w:hAnsi="Arial"/>
      <w:sz w:val="24"/>
      <w:lang w:val="en-US" w:eastAsia="en-US"/>
    </w:rPr>
  </w:style>
  <w:style w:type="paragraph" w:styleId="Heading1">
    <w:name w:val="heading 1"/>
    <w:basedOn w:val="Normal"/>
    <w:next w:val="Normal"/>
    <w:link w:val="Heading1Char"/>
    <w:uiPriority w:val="9"/>
    <w:qFormat/>
    <w:rsid w:val="005F0235"/>
    <w:pPr>
      <w:keepNext/>
      <w:outlineLvl w:val="0"/>
    </w:pPr>
    <w:rPr>
      <w:b/>
      <w:bCs/>
      <w:sz w:val="28"/>
      <w:szCs w:val="28"/>
    </w:rPr>
  </w:style>
  <w:style w:type="paragraph" w:styleId="Heading2">
    <w:name w:val="heading 2"/>
    <w:basedOn w:val="Normal"/>
    <w:next w:val="Normal"/>
    <w:link w:val="Heading2Char"/>
    <w:uiPriority w:val="9"/>
    <w:qFormat/>
    <w:rsid w:val="005F0235"/>
    <w:pPr>
      <w:keepNext/>
      <w:outlineLvl w:val="1"/>
    </w:pPr>
    <w:rPr>
      <w:b/>
      <w:bCs/>
      <w:color w:val="C00000"/>
      <w:lang w:val="en-GB"/>
    </w:rPr>
  </w:style>
  <w:style w:type="paragraph" w:styleId="Heading3">
    <w:name w:val="heading 3"/>
    <w:basedOn w:val="Normal"/>
    <w:next w:val="Normal"/>
    <w:link w:val="Heading3Char"/>
    <w:uiPriority w:val="9"/>
    <w:qFormat/>
    <w:pPr>
      <w:keepNext/>
      <w:outlineLvl w:val="2"/>
    </w:pPr>
    <w:rPr>
      <w:b/>
      <w:bCs/>
      <w:u w:val="single"/>
    </w:rPr>
  </w:style>
  <w:style w:type="paragraph" w:styleId="Heading4">
    <w:name w:val="heading 4"/>
    <w:basedOn w:val="Normal"/>
    <w:next w:val="Normal"/>
    <w:link w:val="Heading4Char"/>
    <w:uiPriority w:val="9"/>
    <w:unhideWhenUsed/>
    <w:qFormat/>
    <w:rsid w:val="00EF3D98"/>
    <w:pPr>
      <w:keepNext/>
      <w:keepLines/>
      <w:overflowPunct/>
      <w:autoSpaceDE/>
      <w:autoSpaceDN/>
      <w:adjustRightInd/>
      <w:spacing w:before="200" w:line="276" w:lineRule="auto"/>
      <w:textAlignment w:val="auto"/>
      <w:outlineLvl w:val="3"/>
    </w:pPr>
    <w:rPr>
      <w:rFonts w:ascii="Cambria" w:hAnsi="Cambria"/>
      <w:b/>
      <w:bCs/>
      <w:i/>
      <w:iCs/>
      <w:color w:val="4F81BD"/>
      <w:sz w:val="22"/>
      <w:szCs w:val="22"/>
      <w:lang w:val="en-GB"/>
    </w:rPr>
  </w:style>
  <w:style w:type="paragraph" w:styleId="Heading5">
    <w:name w:val="heading 5"/>
    <w:basedOn w:val="Normal"/>
    <w:next w:val="Normal"/>
    <w:qFormat/>
    <w:pPr>
      <w:overflowPunct/>
      <w:autoSpaceDE/>
      <w:autoSpaceDN/>
      <w:adjustRightInd/>
      <w:spacing w:before="240" w:after="60"/>
      <w:textAlignment w:val="auto"/>
      <w:outlineLvl w:val="4"/>
    </w:pPr>
    <w:rPr>
      <w:rFonts w:cs="Arial"/>
      <w:b/>
      <w:bCs/>
      <w:color w:val="000080"/>
      <w:sz w:val="22"/>
      <w:szCs w:val="24"/>
      <w:lang w:val="en-GB"/>
    </w:rPr>
  </w:style>
  <w:style w:type="paragraph" w:styleId="Heading8">
    <w:name w:val="heading 8"/>
    <w:basedOn w:val="Normal"/>
    <w:next w:val="Normal"/>
    <w:link w:val="Heading8Char"/>
    <w:uiPriority w:val="9"/>
    <w:semiHidden/>
    <w:unhideWhenUsed/>
    <w:qFormat/>
    <w:rsid w:val="00EF3D98"/>
    <w:pPr>
      <w:keepNext/>
      <w:keepLines/>
      <w:overflowPunct/>
      <w:autoSpaceDE/>
      <w:autoSpaceDN/>
      <w:adjustRightInd/>
      <w:spacing w:before="200" w:line="276" w:lineRule="auto"/>
      <w:textAlignment w:val="auto"/>
      <w:outlineLvl w:val="7"/>
    </w:pPr>
    <w:rPr>
      <w:rFonts w:ascii="Cambria" w:hAnsi="Cambria"/>
      <w:color w:val="404040"/>
      <w:sz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
    <w:name w:val="Body Text"/>
    <w:basedOn w:val="Normal"/>
    <w:pPr>
      <w:tabs>
        <w:tab w:val="left" w:pos="2160"/>
        <w:tab w:val="left" w:pos="3686"/>
        <w:tab w:val="left" w:pos="5954"/>
        <w:tab w:val="right" w:pos="9540"/>
      </w:tabs>
    </w:pPr>
    <w:rPr>
      <w:rFonts w:ascii="Garamond" w:hAnsi="Garamond"/>
      <w:sz w:val="18"/>
    </w:rPr>
  </w:style>
  <w:style w:type="character" w:styleId="PageNumber">
    <w:name w:val="page number"/>
    <w:basedOn w:val="DefaultParagraphFont"/>
  </w:style>
  <w:style w:type="paragraph" w:styleId="BodyText2">
    <w:name w:val="Body Text 2"/>
    <w:basedOn w:val="Normal"/>
    <w:rPr>
      <w:b/>
      <w:bCs/>
    </w:rPr>
  </w:style>
  <w:style w:type="character" w:styleId="Hyperlink">
    <w:name w:val="Hyperlink"/>
    <w:uiPriority w:val="99"/>
    <w:rPr>
      <w:color w:val="0000FF"/>
      <w:u w:val="single"/>
    </w:rPr>
  </w:style>
  <w:style w:type="paragraph" w:styleId="BodyText3">
    <w:name w:val="Body Text 3"/>
    <w:basedOn w:val="Normal"/>
    <w:rPr>
      <w:color w:val="FF0000"/>
    </w:rPr>
  </w:style>
  <w:style w:type="paragraph" w:customStyle="1" w:styleId="ColorfulList-Accent11">
    <w:name w:val="Colorful List - Accent 11"/>
    <w:basedOn w:val="Normal"/>
    <w:uiPriority w:val="34"/>
    <w:qFormat/>
    <w:rsid w:val="00C418BF"/>
    <w:pPr>
      <w:overflowPunct/>
      <w:autoSpaceDE/>
      <w:autoSpaceDN/>
      <w:adjustRightInd/>
      <w:ind w:left="720"/>
      <w:textAlignment w:val="auto"/>
    </w:pPr>
    <w:rPr>
      <w:rFonts w:ascii="Calibri" w:eastAsia="Calibri" w:hAnsi="Calibri" w:cs="Calibri"/>
      <w:sz w:val="22"/>
      <w:szCs w:val="22"/>
      <w:lang w:val="en-GB" w:eastAsia="en-GB"/>
    </w:rPr>
  </w:style>
  <w:style w:type="table" w:styleId="TableGrid">
    <w:name w:val="Table Grid"/>
    <w:basedOn w:val="TableNormal"/>
    <w:uiPriority w:val="59"/>
    <w:rsid w:val="0052469B"/>
    <w:rPr>
      <w:rFonts w:ascii="Cambria" w:eastAsia="MS Mincho" w:hAnsi="Cambria"/>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780EB8"/>
    <w:rPr>
      <w:rFonts w:ascii="Tahoma" w:hAnsi="Tahoma" w:cs="Tahoma"/>
      <w:sz w:val="16"/>
      <w:szCs w:val="16"/>
    </w:rPr>
  </w:style>
  <w:style w:type="character" w:customStyle="1" w:styleId="BalloonTextChar">
    <w:name w:val="Balloon Text Char"/>
    <w:link w:val="BalloonText"/>
    <w:uiPriority w:val="99"/>
    <w:rsid w:val="00780EB8"/>
    <w:rPr>
      <w:rFonts w:ascii="Tahoma" w:hAnsi="Tahoma" w:cs="Tahoma"/>
      <w:sz w:val="16"/>
      <w:szCs w:val="16"/>
      <w:lang w:val="en-US" w:eastAsia="en-US"/>
    </w:rPr>
  </w:style>
  <w:style w:type="character" w:customStyle="1" w:styleId="Heading4Char">
    <w:name w:val="Heading 4 Char"/>
    <w:link w:val="Heading4"/>
    <w:uiPriority w:val="9"/>
    <w:rsid w:val="00EF3D98"/>
    <w:rPr>
      <w:rFonts w:ascii="Cambria" w:hAnsi="Cambria"/>
      <w:b/>
      <w:bCs/>
      <w:i/>
      <w:iCs/>
      <w:color w:val="4F81BD"/>
      <w:sz w:val="22"/>
      <w:szCs w:val="22"/>
      <w:lang w:eastAsia="en-US"/>
    </w:rPr>
  </w:style>
  <w:style w:type="character" w:customStyle="1" w:styleId="Heading8Char">
    <w:name w:val="Heading 8 Char"/>
    <w:link w:val="Heading8"/>
    <w:uiPriority w:val="9"/>
    <w:semiHidden/>
    <w:rsid w:val="00EF3D98"/>
    <w:rPr>
      <w:rFonts w:ascii="Cambria" w:hAnsi="Cambria"/>
      <w:color w:val="404040"/>
      <w:lang w:eastAsia="en-US"/>
    </w:rPr>
  </w:style>
  <w:style w:type="numbering" w:customStyle="1" w:styleId="NoList1">
    <w:name w:val="No List1"/>
    <w:next w:val="NoList"/>
    <w:uiPriority w:val="99"/>
    <w:semiHidden/>
    <w:unhideWhenUsed/>
    <w:rsid w:val="00EF3D98"/>
  </w:style>
  <w:style w:type="character" w:customStyle="1" w:styleId="Heading1Char">
    <w:name w:val="Heading 1 Char"/>
    <w:link w:val="Heading1"/>
    <w:uiPriority w:val="9"/>
    <w:rsid w:val="005F0235"/>
    <w:rPr>
      <w:rFonts w:ascii="Arial" w:hAnsi="Arial"/>
      <w:b/>
      <w:bCs/>
      <w:sz w:val="28"/>
      <w:szCs w:val="28"/>
      <w:lang w:val="en-US" w:eastAsia="en-US"/>
    </w:rPr>
  </w:style>
  <w:style w:type="character" w:customStyle="1" w:styleId="Heading2Char">
    <w:name w:val="Heading 2 Char"/>
    <w:link w:val="Heading2"/>
    <w:uiPriority w:val="9"/>
    <w:rsid w:val="005F0235"/>
    <w:rPr>
      <w:rFonts w:ascii="Arial" w:hAnsi="Arial"/>
      <w:b/>
      <w:bCs/>
      <w:color w:val="C00000"/>
      <w:sz w:val="24"/>
      <w:lang w:eastAsia="en-US"/>
    </w:rPr>
  </w:style>
  <w:style w:type="character" w:customStyle="1" w:styleId="Heading3Char">
    <w:name w:val="Heading 3 Char"/>
    <w:link w:val="Heading3"/>
    <w:uiPriority w:val="9"/>
    <w:rsid w:val="00EF3D98"/>
    <w:rPr>
      <w:rFonts w:ascii="Arial" w:hAnsi="Arial"/>
      <w:b/>
      <w:bCs/>
      <w:sz w:val="24"/>
      <w:u w:val="single"/>
      <w:lang w:val="en-US" w:eastAsia="en-US"/>
    </w:rPr>
  </w:style>
  <w:style w:type="paragraph" w:styleId="Title">
    <w:name w:val="Title"/>
    <w:basedOn w:val="Normal"/>
    <w:next w:val="Normal"/>
    <w:link w:val="TitleChar"/>
    <w:uiPriority w:val="10"/>
    <w:qFormat/>
    <w:rsid w:val="00EF3D98"/>
    <w:pPr>
      <w:pBdr>
        <w:bottom w:val="single" w:sz="8" w:space="4" w:color="4F81BD"/>
      </w:pBdr>
      <w:overflowPunct/>
      <w:autoSpaceDE/>
      <w:autoSpaceDN/>
      <w:adjustRightInd/>
      <w:spacing w:after="300"/>
      <w:contextualSpacing/>
      <w:textAlignment w:val="auto"/>
    </w:pPr>
    <w:rPr>
      <w:rFonts w:ascii="Cambria" w:hAnsi="Cambria"/>
      <w:color w:val="17365D"/>
      <w:spacing w:val="5"/>
      <w:kern w:val="28"/>
      <w:sz w:val="52"/>
      <w:szCs w:val="52"/>
      <w:lang w:val="en-GB"/>
    </w:rPr>
  </w:style>
  <w:style w:type="character" w:customStyle="1" w:styleId="TitleChar">
    <w:name w:val="Title Char"/>
    <w:link w:val="Title"/>
    <w:uiPriority w:val="10"/>
    <w:rsid w:val="00EF3D98"/>
    <w:rPr>
      <w:rFonts w:ascii="Cambria" w:hAnsi="Cambria"/>
      <w:color w:val="17365D"/>
      <w:spacing w:val="5"/>
      <w:kern w:val="28"/>
      <w:sz w:val="52"/>
      <w:szCs w:val="52"/>
      <w:lang w:eastAsia="en-US"/>
    </w:rPr>
  </w:style>
  <w:style w:type="paragraph" w:styleId="Subtitle">
    <w:name w:val="Subtitle"/>
    <w:basedOn w:val="Normal"/>
    <w:next w:val="Normal"/>
    <w:link w:val="SubtitleChar"/>
    <w:uiPriority w:val="11"/>
    <w:qFormat/>
    <w:rsid w:val="00EF3D98"/>
    <w:pPr>
      <w:numPr>
        <w:ilvl w:val="1"/>
      </w:numPr>
      <w:overflowPunct/>
      <w:autoSpaceDE/>
      <w:autoSpaceDN/>
      <w:adjustRightInd/>
      <w:spacing w:after="200" w:line="276" w:lineRule="auto"/>
      <w:textAlignment w:val="auto"/>
    </w:pPr>
    <w:rPr>
      <w:rFonts w:ascii="Cambria" w:hAnsi="Cambria"/>
      <w:i/>
      <w:iCs/>
      <w:color w:val="4F81BD"/>
      <w:spacing w:val="15"/>
      <w:szCs w:val="24"/>
      <w:lang w:val="en-GB"/>
    </w:rPr>
  </w:style>
  <w:style w:type="character" w:customStyle="1" w:styleId="SubtitleChar">
    <w:name w:val="Subtitle Char"/>
    <w:link w:val="Subtitle"/>
    <w:uiPriority w:val="11"/>
    <w:rsid w:val="00EF3D98"/>
    <w:rPr>
      <w:rFonts w:ascii="Cambria" w:hAnsi="Cambria"/>
      <w:i/>
      <w:iCs/>
      <w:color w:val="4F81BD"/>
      <w:spacing w:val="15"/>
      <w:sz w:val="24"/>
      <w:szCs w:val="24"/>
      <w:lang w:eastAsia="en-US"/>
    </w:rPr>
  </w:style>
  <w:style w:type="table" w:customStyle="1" w:styleId="TableGrid1">
    <w:name w:val="Table Grid1"/>
    <w:basedOn w:val="TableNormal"/>
    <w:next w:val="TableGrid"/>
    <w:rsid w:val="00EF3D9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EF3D98"/>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SubtleEmphasis">
    <w:name w:val="Subtle Emphasis"/>
    <w:uiPriority w:val="19"/>
    <w:qFormat/>
    <w:rsid w:val="00EF3D98"/>
    <w:rPr>
      <w:i/>
      <w:iCs/>
      <w:color w:val="808080"/>
    </w:rPr>
  </w:style>
  <w:style w:type="character" w:customStyle="1" w:styleId="HeaderChar">
    <w:name w:val="Header Char"/>
    <w:link w:val="Header"/>
    <w:uiPriority w:val="99"/>
    <w:rsid w:val="00EF3D98"/>
    <w:rPr>
      <w:rFonts w:ascii="Arial" w:hAnsi="Arial"/>
      <w:sz w:val="24"/>
      <w:lang w:val="en-US" w:eastAsia="en-US"/>
    </w:rPr>
  </w:style>
  <w:style w:type="character" w:customStyle="1" w:styleId="FooterChar">
    <w:name w:val="Footer Char"/>
    <w:link w:val="Footer"/>
    <w:uiPriority w:val="99"/>
    <w:rsid w:val="00EF3D98"/>
    <w:rPr>
      <w:rFonts w:ascii="Arial" w:hAnsi="Arial"/>
      <w:sz w:val="24"/>
      <w:lang w:val="en-US" w:eastAsia="en-US"/>
    </w:rPr>
  </w:style>
  <w:style w:type="paragraph" w:styleId="ListParagraph">
    <w:name w:val="List Paragraph"/>
    <w:basedOn w:val="Normal"/>
    <w:uiPriority w:val="34"/>
    <w:qFormat/>
    <w:rsid w:val="00EF3D98"/>
    <w:pPr>
      <w:overflowPunct/>
      <w:autoSpaceDE/>
      <w:autoSpaceDN/>
      <w:adjustRightInd/>
      <w:spacing w:after="200" w:line="276" w:lineRule="auto"/>
      <w:ind w:left="720"/>
      <w:contextualSpacing/>
      <w:textAlignment w:val="auto"/>
    </w:pPr>
    <w:rPr>
      <w:rFonts w:ascii="Calibri" w:eastAsia="Calibri" w:hAnsi="Calibri"/>
      <w:sz w:val="22"/>
      <w:szCs w:val="22"/>
      <w:lang w:val="en-GB"/>
    </w:rPr>
  </w:style>
  <w:style w:type="paragraph" w:styleId="TOCHeading">
    <w:name w:val="TOC Heading"/>
    <w:basedOn w:val="Heading1"/>
    <w:next w:val="Normal"/>
    <w:uiPriority w:val="39"/>
    <w:unhideWhenUsed/>
    <w:qFormat/>
    <w:rsid w:val="00EF3D98"/>
    <w:pPr>
      <w:keepLines/>
      <w:overflowPunct/>
      <w:autoSpaceDE/>
      <w:autoSpaceDN/>
      <w:adjustRightInd/>
      <w:spacing w:before="480" w:line="276" w:lineRule="auto"/>
      <w:textAlignment w:val="auto"/>
      <w:outlineLvl w:val="9"/>
    </w:pPr>
    <w:rPr>
      <w:rFonts w:cs="Arial"/>
      <w:sz w:val="36"/>
      <w:szCs w:val="36"/>
      <w:lang w:eastAsia="ja-JP"/>
    </w:rPr>
  </w:style>
  <w:style w:type="paragraph" w:styleId="TOC1">
    <w:name w:val="toc 1"/>
    <w:basedOn w:val="Normal"/>
    <w:next w:val="Normal"/>
    <w:autoRedefine/>
    <w:uiPriority w:val="39"/>
    <w:unhideWhenUsed/>
    <w:rsid w:val="00EF3D98"/>
    <w:pPr>
      <w:overflowPunct/>
      <w:autoSpaceDE/>
      <w:autoSpaceDN/>
      <w:adjustRightInd/>
      <w:spacing w:after="100" w:line="276" w:lineRule="auto"/>
      <w:textAlignment w:val="auto"/>
    </w:pPr>
    <w:rPr>
      <w:rFonts w:ascii="Calibri" w:eastAsia="Calibri" w:hAnsi="Calibri"/>
      <w:sz w:val="22"/>
      <w:szCs w:val="22"/>
      <w:lang w:val="en-GB"/>
    </w:rPr>
  </w:style>
  <w:style w:type="paragraph" w:styleId="TOC2">
    <w:name w:val="toc 2"/>
    <w:basedOn w:val="Normal"/>
    <w:next w:val="Normal"/>
    <w:autoRedefine/>
    <w:uiPriority w:val="39"/>
    <w:unhideWhenUsed/>
    <w:rsid w:val="00EF3D98"/>
    <w:pPr>
      <w:overflowPunct/>
      <w:autoSpaceDE/>
      <w:autoSpaceDN/>
      <w:adjustRightInd/>
      <w:spacing w:after="100" w:line="276" w:lineRule="auto"/>
      <w:ind w:left="220"/>
      <w:textAlignment w:val="auto"/>
    </w:pPr>
    <w:rPr>
      <w:rFonts w:ascii="Calibri" w:eastAsia="Calibri" w:hAnsi="Calibri"/>
      <w:sz w:val="22"/>
      <w:szCs w:val="22"/>
      <w:lang w:val="en-GB"/>
    </w:rPr>
  </w:style>
  <w:style w:type="paragraph" w:styleId="TOC3">
    <w:name w:val="toc 3"/>
    <w:basedOn w:val="Normal"/>
    <w:next w:val="Normal"/>
    <w:autoRedefine/>
    <w:uiPriority w:val="39"/>
    <w:unhideWhenUsed/>
    <w:rsid w:val="00EF3D98"/>
    <w:pPr>
      <w:overflowPunct/>
      <w:autoSpaceDE/>
      <w:autoSpaceDN/>
      <w:adjustRightInd/>
      <w:spacing w:after="100" w:line="276" w:lineRule="auto"/>
      <w:ind w:left="440"/>
      <w:textAlignment w:val="auto"/>
    </w:pPr>
    <w:rPr>
      <w:rFonts w:ascii="Calibri" w:eastAsia="Calibri" w:hAnsi="Calibri"/>
      <w:sz w:val="22"/>
      <w:szCs w:val="22"/>
      <w:lang w:val="en-GB"/>
    </w:rPr>
  </w:style>
  <w:style w:type="table" w:styleId="LightShading-Accent2">
    <w:name w:val="Light Shading Accent 2"/>
    <w:basedOn w:val="TableNormal"/>
    <w:uiPriority w:val="60"/>
    <w:rsid w:val="00EF3D98"/>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Bullet">
    <w:name w:val="Bullet"/>
    <w:basedOn w:val="NoList"/>
    <w:uiPriority w:val="99"/>
    <w:rsid w:val="00EF3D98"/>
    <w:pPr>
      <w:numPr>
        <w:numId w:val="3"/>
      </w:numPr>
    </w:pPr>
  </w:style>
  <w:style w:type="character" w:styleId="FollowedHyperlink">
    <w:name w:val="FollowedHyperlink"/>
    <w:uiPriority w:val="99"/>
    <w:unhideWhenUsed/>
    <w:rsid w:val="00EF3D98"/>
    <w:rPr>
      <w:color w:val="800080"/>
      <w:u w:val="single"/>
    </w:rPr>
  </w:style>
  <w:style w:type="paragraph" w:styleId="FootnoteText">
    <w:name w:val="footnote text"/>
    <w:basedOn w:val="Normal"/>
    <w:link w:val="FootnoteTextChar"/>
    <w:uiPriority w:val="99"/>
    <w:unhideWhenUsed/>
    <w:rsid w:val="00EF3D98"/>
    <w:pPr>
      <w:overflowPunct/>
      <w:autoSpaceDE/>
      <w:autoSpaceDN/>
      <w:adjustRightInd/>
      <w:textAlignment w:val="auto"/>
    </w:pPr>
    <w:rPr>
      <w:rFonts w:ascii="Calibri" w:eastAsia="Calibri" w:hAnsi="Calibri"/>
      <w:sz w:val="20"/>
      <w:lang w:val="en-GB"/>
    </w:rPr>
  </w:style>
  <w:style w:type="character" w:customStyle="1" w:styleId="FootnoteTextChar">
    <w:name w:val="Footnote Text Char"/>
    <w:link w:val="FootnoteText"/>
    <w:uiPriority w:val="99"/>
    <w:rsid w:val="00EF3D98"/>
    <w:rPr>
      <w:rFonts w:ascii="Calibri" w:eastAsia="Calibri" w:hAnsi="Calibri"/>
      <w:lang w:eastAsia="en-US"/>
    </w:rPr>
  </w:style>
  <w:style w:type="character" w:styleId="FootnoteReference">
    <w:name w:val="footnote reference"/>
    <w:uiPriority w:val="99"/>
    <w:unhideWhenUsed/>
    <w:rsid w:val="00EF3D98"/>
    <w:rPr>
      <w:vertAlign w:val="superscript"/>
    </w:rPr>
  </w:style>
  <w:style w:type="paragraph" w:customStyle="1" w:styleId="Pa1">
    <w:name w:val="Pa1"/>
    <w:basedOn w:val="Normal"/>
    <w:next w:val="Normal"/>
    <w:uiPriority w:val="99"/>
    <w:rsid w:val="00EF3D98"/>
    <w:pPr>
      <w:overflowPunct/>
      <w:spacing w:line="241" w:lineRule="atLeast"/>
      <w:textAlignment w:val="auto"/>
    </w:pPr>
    <w:rPr>
      <w:rFonts w:ascii="Syntax" w:eastAsia="Calibri" w:hAnsi="Syntax"/>
      <w:szCs w:val="24"/>
      <w:lang w:val="en-GB"/>
    </w:rPr>
  </w:style>
  <w:style w:type="paragraph" w:styleId="NormalWeb">
    <w:name w:val="Normal (Web)"/>
    <w:basedOn w:val="Normal"/>
    <w:unhideWhenUsed/>
    <w:rsid w:val="00EF3D98"/>
    <w:pPr>
      <w:overflowPunct/>
      <w:autoSpaceDE/>
      <w:autoSpaceDN/>
      <w:adjustRightInd/>
      <w:spacing w:before="100" w:beforeAutospacing="1" w:after="100" w:afterAutospacing="1"/>
      <w:textAlignment w:val="auto"/>
    </w:pPr>
    <w:rPr>
      <w:rFonts w:ascii="Times New Roman" w:hAnsi="Times New Roman"/>
      <w:szCs w:val="24"/>
      <w:lang w:val="en-GB" w:eastAsia="en-GB"/>
    </w:rPr>
  </w:style>
  <w:style w:type="character" w:styleId="Emphasis">
    <w:name w:val="Emphasis"/>
    <w:qFormat/>
    <w:rsid w:val="00EF3D98"/>
    <w:rPr>
      <w:i/>
      <w:iCs/>
    </w:rPr>
  </w:style>
  <w:style w:type="paragraph" w:customStyle="1" w:styleId="Level1">
    <w:name w:val="Level 1"/>
    <w:basedOn w:val="Normal"/>
    <w:rsid w:val="00E1797B"/>
    <w:pPr>
      <w:keepNext/>
      <w:numPr>
        <w:numId w:val="1"/>
      </w:numPr>
      <w:overflowPunct/>
      <w:autoSpaceDE/>
      <w:autoSpaceDN/>
      <w:adjustRightInd/>
      <w:spacing w:before="240" w:after="120"/>
      <w:textAlignment w:val="auto"/>
      <w:outlineLvl w:val="0"/>
    </w:pPr>
    <w:rPr>
      <w:rFonts w:cs="Arial"/>
      <w:b/>
      <w:caps/>
      <w:szCs w:val="24"/>
      <w:lang w:val="en-GB"/>
    </w:rPr>
  </w:style>
  <w:style w:type="paragraph" w:customStyle="1" w:styleId="PHESecondaryheading">
    <w:name w:val="PHE Secondary heading"/>
    <w:basedOn w:val="Normal"/>
    <w:rsid w:val="0083566B"/>
    <w:pPr>
      <w:overflowPunct/>
      <w:autoSpaceDE/>
      <w:autoSpaceDN/>
      <w:adjustRightInd/>
      <w:spacing w:after="240" w:line="660" w:lineRule="exact"/>
      <w:ind w:right="794"/>
      <w:textAlignment w:val="auto"/>
      <w:outlineLvl w:val="0"/>
    </w:pPr>
    <w:rPr>
      <w:rFonts w:cs="Arial"/>
      <w:color w:val="98002E"/>
      <w:sz w:val="28"/>
      <w:szCs w:val="48"/>
      <w:lang w:val="en-GB"/>
    </w:rPr>
  </w:style>
  <w:style w:type="character" w:styleId="CommentReference">
    <w:name w:val="annotation reference"/>
    <w:basedOn w:val="DefaultParagraphFont"/>
    <w:rsid w:val="009F5424"/>
    <w:rPr>
      <w:sz w:val="16"/>
      <w:szCs w:val="16"/>
    </w:rPr>
  </w:style>
  <w:style w:type="paragraph" w:styleId="CommentText">
    <w:name w:val="annotation text"/>
    <w:basedOn w:val="Normal"/>
    <w:link w:val="CommentTextChar"/>
    <w:rsid w:val="009F5424"/>
    <w:rPr>
      <w:sz w:val="20"/>
    </w:rPr>
  </w:style>
  <w:style w:type="character" w:customStyle="1" w:styleId="CommentTextChar">
    <w:name w:val="Comment Text Char"/>
    <w:basedOn w:val="DefaultParagraphFont"/>
    <w:link w:val="CommentText"/>
    <w:rsid w:val="009F5424"/>
    <w:rPr>
      <w:rFonts w:ascii="Arial" w:hAnsi="Arial"/>
      <w:lang w:val="en-US" w:eastAsia="en-US"/>
    </w:rPr>
  </w:style>
  <w:style w:type="paragraph" w:styleId="CommentSubject">
    <w:name w:val="annotation subject"/>
    <w:basedOn w:val="CommentText"/>
    <w:next w:val="CommentText"/>
    <w:link w:val="CommentSubjectChar"/>
    <w:rsid w:val="009F5424"/>
    <w:rPr>
      <w:b/>
      <w:bCs/>
    </w:rPr>
  </w:style>
  <w:style w:type="character" w:customStyle="1" w:styleId="CommentSubjectChar">
    <w:name w:val="Comment Subject Char"/>
    <w:basedOn w:val="CommentTextChar"/>
    <w:link w:val="CommentSubject"/>
    <w:rsid w:val="009F5424"/>
    <w:rPr>
      <w:rFonts w:ascii="Arial" w:hAnsi="Arial"/>
      <w:b/>
      <w:bCs/>
      <w:lang w:val="en-US" w:eastAsia="en-US"/>
    </w:rPr>
  </w:style>
  <w:style w:type="paragraph" w:customStyle="1" w:styleId="PHEBodycopy">
    <w:name w:val="PHE Body copy"/>
    <w:basedOn w:val="Normal"/>
    <w:qFormat/>
    <w:rsid w:val="00E1396E"/>
    <w:pPr>
      <w:overflowPunct/>
      <w:autoSpaceDE/>
      <w:autoSpaceDN/>
      <w:adjustRightInd/>
      <w:spacing w:line="320" w:lineRule="exact"/>
      <w:textAlignment w:val="auto"/>
    </w:pPr>
    <w:rPr>
      <w:rFonts w:eastAsia="Calibri" w:cs="Arial"/>
      <w:lang w:val="en-GB" w:eastAsia="en-GB"/>
    </w:rPr>
  </w:style>
  <w:style w:type="paragraph" w:customStyle="1" w:styleId="Default">
    <w:name w:val="Default"/>
    <w:rsid w:val="0090186A"/>
    <w:pPr>
      <w:autoSpaceDE w:val="0"/>
      <w:autoSpaceDN w:val="0"/>
      <w:adjustRightInd w:val="0"/>
    </w:pPr>
    <w:rPr>
      <w:rFonts w:ascii="Arial" w:eastAsiaTheme="minorHAnsi" w:hAnsi="Arial" w:cs="Arial"/>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uiPriority="10" w:qFormat="1"/>
    <w:lsdException w:name="Subtitle" w:uiPriority="11" w:qFormat="1"/>
    <w:lsdException w:name="Hyperlink" w:uiPriority="99"/>
    <w:lsdException w:name="FollowedHyperlink" w:uiPriority="99"/>
    <w:lsdException w:name="Strong" w:qFormat="1"/>
    <w:lsdException w:name="Emphasis" w:qFormat="1"/>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3D98"/>
    <w:pPr>
      <w:overflowPunct w:val="0"/>
      <w:autoSpaceDE w:val="0"/>
      <w:autoSpaceDN w:val="0"/>
      <w:adjustRightInd w:val="0"/>
      <w:textAlignment w:val="baseline"/>
    </w:pPr>
    <w:rPr>
      <w:rFonts w:ascii="Arial" w:hAnsi="Arial"/>
      <w:sz w:val="24"/>
      <w:lang w:val="en-US" w:eastAsia="en-US"/>
    </w:rPr>
  </w:style>
  <w:style w:type="paragraph" w:styleId="Heading1">
    <w:name w:val="heading 1"/>
    <w:basedOn w:val="Normal"/>
    <w:next w:val="Normal"/>
    <w:link w:val="Heading1Char"/>
    <w:uiPriority w:val="9"/>
    <w:qFormat/>
    <w:rsid w:val="005F0235"/>
    <w:pPr>
      <w:keepNext/>
      <w:outlineLvl w:val="0"/>
    </w:pPr>
    <w:rPr>
      <w:b/>
      <w:bCs/>
      <w:sz w:val="28"/>
      <w:szCs w:val="28"/>
    </w:rPr>
  </w:style>
  <w:style w:type="paragraph" w:styleId="Heading2">
    <w:name w:val="heading 2"/>
    <w:basedOn w:val="Normal"/>
    <w:next w:val="Normal"/>
    <w:link w:val="Heading2Char"/>
    <w:uiPriority w:val="9"/>
    <w:qFormat/>
    <w:rsid w:val="005F0235"/>
    <w:pPr>
      <w:keepNext/>
      <w:outlineLvl w:val="1"/>
    </w:pPr>
    <w:rPr>
      <w:b/>
      <w:bCs/>
      <w:color w:val="C00000"/>
      <w:lang w:val="en-GB"/>
    </w:rPr>
  </w:style>
  <w:style w:type="paragraph" w:styleId="Heading3">
    <w:name w:val="heading 3"/>
    <w:basedOn w:val="Normal"/>
    <w:next w:val="Normal"/>
    <w:link w:val="Heading3Char"/>
    <w:uiPriority w:val="9"/>
    <w:qFormat/>
    <w:pPr>
      <w:keepNext/>
      <w:outlineLvl w:val="2"/>
    </w:pPr>
    <w:rPr>
      <w:b/>
      <w:bCs/>
      <w:u w:val="single"/>
    </w:rPr>
  </w:style>
  <w:style w:type="paragraph" w:styleId="Heading4">
    <w:name w:val="heading 4"/>
    <w:basedOn w:val="Normal"/>
    <w:next w:val="Normal"/>
    <w:link w:val="Heading4Char"/>
    <w:uiPriority w:val="9"/>
    <w:unhideWhenUsed/>
    <w:qFormat/>
    <w:rsid w:val="00EF3D98"/>
    <w:pPr>
      <w:keepNext/>
      <w:keepLines/>
      <w:overflowPunct/>
      <w:autoSpaceDE/>
      <w:autoSpaceDN/>
      <w:adjustRightInd/>
      <w:spacing w:before="200" w:line="276" w:lineRule="auto"/>
      <w:textAlignment w:val="auto"/>
      <w:outlineLvl w:val="3"/>
    </w:pPr>
    <w:rPr>
      <w:rFonts w:ascii="Cambria" w:hAnsi="Cambria"/>
      <w:b/>
      <w:bCs/>
      <w:i/>
      <w:iCs/>
      <w:color w:val="4F81BD"/>
      <w:sz w:val="22"/>
      <w:szCs w:val="22"/>
      <w:lang w:val="en-GB"/>
    </w:rPr>
  </w:style>
  <w:style w:type="paragraph" w:styleId="Heading5">
    <w:name w:val="heading 5"/>
    <w:basedOn w:val="Normal"/>
    <w:next w:val="Normal"/>
    <w:qFormat/>
    <w:pPr>
      <w:overflowPunct/>
      <w:autoSpaceDE/>
      <w:autoSpaceDN/>
      <w:adjustRightInd/>
      <w:spacing w:before="240" w:after="60"/>
      <w:textAlignment w:val="auto"/>
      <w:outlineLvl w:val="4"/>
    </w:pPr>
    <w:rPr>
      <w:rFonts w:cs="Arial"/>
      <w:b/>
      <w:bCs/>
      <w:color w:val="000080"/>
      <w:sz w:val="22"/>
      <w:szCs w:val="24"/>
      <w:lang w:val="en-GB"/>
    </w:rPr>
  </w:style>
  <w:style w:type="paragraph" w:styleId="Heading8">
    <w:name w:val="heading 8"/>
    <w:basedOn w:val="Normal"/>
    <w:next w:val="Normal"/>
    <w:link w:val="Heading8Char"/>
    <w:uiPriority w:val="9"/>
    <w:semiHidden/>
    <w:unhideWhenUsed/>
    <w:qFormat/>
    <w:rsid w:val="00EF3D98"/>
    <w:pPr>
      <w:keepNext/>
      <w:keepLines/>
      <w:overflowPunct/>
      <w:autoSpaceDE/>
      <w:autoSpaceDN/>
      <w:adjustRightInd/>
      <w:spacing w:before="200" w:line="276" w:lineRule="auto"/>
      <w:textAlignment w:val="auto"/>
      <w:outlineLvl w:val="7"/>
    </w:pPr>
    <w:rPr>
      <w:rFonts w:ascii="Cambria" w:hAnsi="Cambria"/>
      <w:color w:val="404040"/>
      <w:sz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
    <w:name w:val="Body Text"/>
    <w:basedOn w:val="Normal"/>
    <w:pPr>
      <w:tabs>
        <w:tab w:val="left" w:pos="2160"/>
        <w:tab w:val="left" w:pos="3686"/>
        <w:tab w:val="left" w:pos="5954"/>
        <w:tab w:val="right" w:pos="9540"/>
      </w:tabs>
    </w:pPr>
    <w:rPr>
      <w:rFonts w:ascii="Garamond" w:hAnsi="Garamond"/>
      <w:sz w:val="18"/>
    </w:rPr>
  </w:style>
  <w:style w:type="character" w:styleId="PageNumber">
    <w:name w:val="page number"/>
    <w:basedOn w:val="DefaultParagraphFont"/>
  </w:style>
  <w:style w:type="paragraph" w:styleId="BodyText2">
    <w:name w:val="Body Text 2"/>
    <w:basedOn w:val="Normal"/>
    <w:rPr>
      <w:b/>
      <w:bCs/>
    </w:rPr>
  </w:style>
  <w:style w:type="character" w:styleId="Hyperlink">
    <w:name w:val="Hyperlink"/>
    <w:uiPriority w:val="99"/>
    <w:rPr>
      <w:color w:val="0000FF"/>
      <w:u w:val="single"/>
    </w:rPr>
  </w:style>
  <w:style w:type="paragraph" w:styleId="BodyText3">
    <w:name w:val="Body Text 3"/>
    <w:basedOn w:val="Normal"/>
    <w:rPr>
      <w:color w:val="FF0000"/>
    </w:rPr>
  </w:style>
  <w:style w:type="paragraph" w:customStyle="1" w:styleId="ColorfulList-Accent11">
    <w:name w:val="Colorful List - Accent 11"/>
    <w:basedOn w:val="Normal"/>
    <w:uiPriority w:val="34"/>
    <w:qFormat/>
    <w:rsid w:val="00C418BF"/>
    <w:pPr>
      <w:overflowPunct/>
      <w:autoSpaceDE/>
      <w:autoSpaceDN/>
      <w:adjustRightInd/>
      <w:ind w:left="720"/>
      <w:textAlignment w:val="auto"/>
    </w:pPr>
    <w:rPr>
      <w:rFonts w:ascii="Calibri" w:eastAsia="Calibri" w:hAnsi="Calibri" w:cs="Calibri"/>
      <w:sz w:val="22"/>
      <w:szCs w:val="22"/>
      <w:lang w:val="en-GB" w:eastAsia="en-GB"/>
    </w:rPr>
  </w:style>
  <w:style w:type="table" w:styleId="TableGrid">
    <w:name w:val="Table Grid"/>
    <w:basedOn w:val="TableNormal"/>
    <w:uiPriority w:val="59"/>
    <w:rsid w:val="0052469B"/>
    <w:rPr>
      <w:rFonts w:ascii="Cambria" w:eastAsia="MS Mincho" w:hAnsi="Cambria"/>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780EB8"/>
    <w:rPr>
      <w:rFonts w:ascii="Tahoma" w:hAnsi="Tahoma" w:cs="Tahoma"/>
      <w:sz w:val="16"/>
      <w:szCs w:val="16"/>
    </w:rPr>
  </w:style>
  <w:style w:type="character" w:customStyle="1" w:styleId="BalloonTextChar">
    <w:name w:val="Balloon Text Char"/>
    <w:link w:val="BalloonText"/>
    <w:uiPriority w:val="99"/>
    <w:rsid w:val="00780EB8"/>
    <w:rPr>
      <w:rFonts w:ascii="Tahoma" w:hAnsi="Tahoma" w:cs="Tahoma"/>
      <w:sz w:val="16"/>
      <w:szCs w:val="16"/>
      <w:lang w:val="en-US" w:eastAsia="en-US"/>
    </w:rPr>
  </w:style>
  <w:style w:type="character" w:customStyle="1" w:styleId="Heading4Char">
    <w:name w:val="Heading 4 Char"/>
    <w:link w:val="Heading4"/>
    <w:uiPriority w:val="9"/>
    <w:rsid w:val="00EF3D98"/>
    <w:rPr>
      <w:rFonts w:ascii="Cambria" w:hAnsi="Cambria"/>
      <w:b/>
      <w:bCs/>
      <w:i/>
      <w:iCs/>
      <w:color w:val="4F81BD"/>
      <w:sz w:val="22"/>
      <w:szCs w:val="22"/>
      <w:lang w:eastAsia="en-US"/>
    </w:rPr>
  </w:style>
  <w:style w:type="character" w:customStyle="1" w:styleId="Heading8Char">
    <w:name w:val="Heading 8 Char"/>
    <w:link w:val="Heading8"/>
    <w:uiPriority w:val="9"/>
    <w:semiHidden/>
    <w:rsid w:val="00EF3D98"/>
    <w:rPr>
      <w:rFonts w:ascii="Cambria" w:hAnsi="Cambria"/>
      <w:color w:val="404040"/>
      <w:lang w:eastAsia="en-US"/>
    </w:rPr>
  </w:style>
  <w:style w:type="numbering" w:customStyle="1" w:styleId="NoList1">
    <w:name w:val="No List1"/>
    <w:next w:val="NoList"/>
    <w:uiPriority w:val="99"/>
    <w:semiHidden/>
    <w:unhideWhenUsed/>
    <w:rsid w:val="00EF3D98"/>
  </w:style>
  <w:style w:type="character" w:customStyle="1" w:styleId="Heading1Char">
    <w:name w:val="Heading 1 Char"/>
    <w:link w:val="Heading1"/>
    <w:uiPriority w:val="9"/>
    <w:rsid w:val="005F0235"/>
    <w:rPr>
      <w:rFonts w:ascii="Arial" w:hAnsi="Arial"/>
      <w:b/>
      <w:bCs/>
      <w:sz w:val="28"/>
      <w:szCs w:val="28"/>
      <w:lang w:val="en-US" w:eastAsia="en-US"/>
    </w:rPr>
  </w:style>
  <w:style w:type="character" w:customStyle="1" w:styleId="Heading2Char">
    <w:name w:val="Heading 2 Char"/>
    <w:link w:val="Heading2"/>
    <w:uiPriority w:val="9"/>
    <w:rsid w:val="005F0235"/>
    <w:rPr>
      <w:rFonts w:ascii="Arial" w:hAnsi="Arial"/>
      <w:b/>
      <w:bCs/>
      <w:color w:val="C00000"/>
      <w:sz w:val="24"/>
      <w:lang w:eastAsia="en-US"/>
    </w:rPr>
  </w:style>
  <w:style w:type="character" w:customStyle="1" w:styleId="Heading3Char">
    <w:name w:val="Heading 3 Char"/>
    <w:link w:val="Heading3"/>
    <w:uiPriority w:val="9"/>
    <w:rsid w:val="00EF3D98"/>
    <w:rPr>
      <w:rFonts w:ascii="Arial" w:hAnsi="Arial"/>
      <w:b/>
      <w:bCs/>
      <w:sz w:val="24"/>
      <w:u w:val="single"/>
      <w:lang w:val="en-US" w:eastAsia="en-US"/>
    </w:rPr>
  </w:style>
  <w:style w:type="paragraph" w:styleId="Title">
    <w:name w:val="Title"/>
    <w:basedOn w:val="Normal"/>
    <w:next w:val="Normal"/>
    <w:link w:val="TitleChar"/>
    <w:uiPriority w:val="10"/>
    <w:qFormat/>
    <w:rsid w:val="00EF3D98"/>
    <w:pPr>
      <w:pBdr>
        <w:bottom w:val="single" w:sz="8" w:space="4" w:color="4F81BD"/>
      </w:pBdr>
      <w:overflowPunct/>
      <w:autoSpaceDE/>
      <w:autoSpaceDN/>
      <w:adjustRightInd/>
      <w:spacing w:after="300"/>
      <w:contextualSpacing/>
      <w:textAlignment w:val="auto"/>
    </w:pPr>
    <w:rPr>
      <w:rFonts w:ascii="Cambria" w:hAnsi="Cambria"/>
      <w:color w:val="17365D"/>
      <w:spacing w:val="5"/>
      <w:kern w:val="28"/>
      <w:sz w:val="52"/>
      <w:szCs w:val="52"/>
      <w:lang w:val="en-GB"/>
    </w:rPr>
  </w:style>
  <w:style w:type="character" w:customStyle="1" w:styleId="TitleChar">
    <w:name w:val="Title Char"/>
    <w:link w:val="Title"/>
    <w:uiPriority w:val="10"/>
    <w:rsid w:val="00EF3D98"/>
    <w:rPr>
      <w:rFonts w:ascii="Cambria" w:hAnsi="Cambria"/>
      <w:color w:val="17365D"/>
      <w:spacing w:val="5"/>
      <w:kern w:val="28"/>
      <w:sz w:val="52"/>
      <w:szCs w:val="52"/>
      <w:lang w:eastAsia="en-US"/>
    </w:rPr>
  </w:style>
  <w:style w:type="paragraph" w:styleId="Subtitle">
    <w:name w:val="Subtitle"/>
    <w:basedOn w:val="Normal"/>
    <w:next w:val="Normal"/>
    <w:link w:val="SubtitleChar"/>
    <w:uiPriority w:val="11"/>
    <w:qFormat/>
    <w:rsid w:val="00EF3D98"/>
    <w:pPr>
      <w:numPr>
        <w:ilvl w:val="1"/>
      </w:numPr>
      <w:overflowPunct/>
      <w:autoSpaceDE/>
      <w:autoSpaceDN/>
      <w:adjustRightInd/>
      <w:spacing w:after="200" w:line="276" w:lineRule="auto"/>
      <w:textAlignment w:val="auto"/>
    </w:pPr>
    <w:rPr>
      <w:rFonts w:ascii="Cambria" w:hAnsi="Cambria"/>
      <w:i/>
      <w:iCs/>
      <w:color w:val="4F81BD"/>
      <w:spacing w:val="15"/>
      <w:szCs w:val="24"/>
      <w:lang w:val="en-GB"/>
    </w:rPr>
  </w:style>
  <w:style w:type="character" w:customStyle="1" w:styleId="SubtitleChar">
    <w:name w:val="Subtitle Char"/>
    <w:link w:val="Subtitle"/>
    <w:uiPriority w:val="11"/>
    <w:rsid w:val="00EF3D98"/>
    <w:rPr>
      <w:rFonts w:ascii="Cambria" w:hAnsi="Cambria"/>
      <w:i/>
      <w:iCs/>
      <w:color w:val="4F81BD"/>
      <w:spacing w:val="15"/>
      <w:sz w:val="24"/>
      <w:szCs w:val="24"/>
      <w:lang w:eastAsia="en-US"/>
    </w:rPr>
  </w:style>
  <w:style w:type="table" w:customStyle="1" w:styleId="TableGrid1">
    <w:name w:val="Table Grid1"/>
    <w:basedOn w:val="TableNormal"/>
    <w:next w:val="TableGrid"/>
    <w:rsid w:val="00EF3D9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EF3D98"/>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SubtleEmphasis">
    <w:name w:val="Subtle Emphasis"/>
    <w:uiPriority w:val="19"/>
    <w:qFormat/>
    <w:rsid w:val="00EF3D98"/>
    <w:rPr>
      <w:i/>
      <w:iCs/>
      <w:color w:val="808080"/>
    </w:rPr>
  </w:style>
  <w:style w:type="character" w:customStyle="1" w:styleId="HeaderChar">
    <w:name w:val="Header Char"/>
    <w:link w:val="Header"/>
    <w:uiPriority w:val="99"/>
    <w:rsid w:val="00EF3D98"/>
    <w:rPr>
      <w:rFonts w:ascii="Arial" w:hAnsi="Arial"/>
      <w:sz w:val="24"/>
      <w:lang w:val="en-US" w:eastAsia="en-US"/>
    </w:rPr>
  </w:style>
  <w:style w:type="character" w:customStyle="1" w:styleId="FooterChar">
    <w:name w:val="Footer Char"/>
    <w:link w:val="Footer"/>
    <w:uiPriority w:val="99"/>
    <w:rsid w:val="00EF3D98"/>
    <w:rPr>
      <w:rFonts w:ascii="Arial" w:hAnsi="Arial"/>
      <w:sz w:val="24"/>
      <w:lang w:val="en-US" w:eastAsia="en-US"/>
    </w:rPr>
  </w:style>
  <w:style w:type="paragraph" w:styleId="ListParagraph">
    <w:name w:val="List Paragraph"/>
    <w:basedOn w:val="Normal"/>
    <w:uiPriority w:val="34"/>
    <w:qFormat/>
    <w:rsid w:val="00EF3D98"/>
    <w:pPr>
      <w:overflowPunct/>
      <w:autoSpaceDE/>
      <w:autoSpaceDN/>
      <w:adjustRightInd/>
      <w:spacing w:after="200" w:line="276" w:lineRule="auto"/>
      <w:ind w:left="720"/>
      <w:contextualSpacing/>
      <w:textAlignment w:val="auto"/>
    </w:pPr>
    <w:rPr>
      <w:rFonts w:ascii="Calibri" w:eastAsia="Calibri" w:hAnsi="Calibri"/>
      <w:sz w:val="22"/>
      <w:szCs w:val="22"/>
      <w:lang w:val="en-GB"/>
    </w:rPr>
  </w:style>
  <w:style w:type="paragraph" w:styleId="TOCHeading">
    <w:name w:val="TOC Heading"/>
    <w:basedOn w:val="Heading1"/>
    <w:next w:val="Normal"/>
    <w:uiPriority w:val="39"/>
    <w:unhideWhenUsed/>
    <w:qFormat/>
    <w:rsid w:val="00EF3D98"/>
    <w:pPr>
      <w:keepLines/>
      <w:overflowPunct/>
      <w:autoSpaceDE/>
      <w:autoSpaceDN/>
      <w:adjustRightInd/>
      <w:spacing w:before="480" w:line="276" w:lineRule="auto"/>
      <w:textAlignment w:val="auto"/>
      <w:outlineLvl w:val="9"/>
    </w:pPr>
    <w:rPr>
      <w:rFonts w:cs="Arial"/>
      <w:sz w:val="36"/>
      <w:szCs w:val="36"/>
      <w:lang w:eastAsia="ja-JP"/>
    </w:rPr>
  </w:style>
  <w:style w:type="paragraph" w:styleId="TOC1">
    <w:name w:val="toc 1"/>
    <w:basedOn w:val="Normal"/>
    <w:next w:val="Normal"/>
    <w:autoRedefine/>
    <w:uiPriority w:val="39"/>
    <w:unhideWhenUsed/>
    <w:rsid w:val="00EF3D98"/>
    <w:pPr>
      <w:overflowPunct/>
      <w:autoSpaceDE/>
      <w:autoSpaceDN/>
      <w:adjustRightInd/>
      <w:spacing w:after="100" w:line="276" w:lineRule="auto"/>
      <w:textAlignment w:val="auto"/>
    </w:pPr>
    <w:rPr>
      <w:rFonts w:ascii="Calibri" w:eastAsia="Calibri" w:hAnsi="Calibri"/>
      <w:sz w:val="22"/>
      <w:szCs w:val="22"/>
      <w:lang w:val="en-GB"/>
    </w:rPr>
  </w:style>
  <w:style w:type="paragraph" w:styleId="TOC2">
    <w:name w:val="toc 2"/>
    <w:basedOn w:val="Normal"/>
    <w:next w:val="Normal"/>
    <w:autoRedefine/>
    <w:uiPriority w:val="39"/>
    <w:unhideWhenUsed/>
    <w:rsid w:val="00EF3D98"/>
    <w:pPr>
      <w:overflowPunct/>
      <w:autoSpaceDE/>
      <w:autoSpaceDN/>
      <w:adjustRightInd/>
      <w:spacing w:after="100" w:line="276" w:lineRule="auto"/>
      <w:ind w:left="220"/>
      <w:textAlignment w:val="auto"/>
    </w:pPr>
    <w:rPr>
      <w:rFonts w:ascii="Calibri" w:eastAsia="Calibri" w:hAnsi="Calibri"/>
      <w:sz w:val="22"/>
      <w:szCs w:val="22"/>
      <w:lang w:val="en-GB"/>
    </w:rPr>
  </w:style>
  <w:style w:type="paragraph" w:styleId="TOC3">
    <w:name w:val="toc 3"/>
    <w:basedOn w:val="Normal"/>
    <w:next w:val="Normal"/>
    <w:autoRedefine/>
    <w:uiPriority w:val="39"/>
    <w:unhideWhenUsed/>
    <w:rsid w:val="00EF3D98"/>
    <w:pPr>
      <w:overflowPunct/>
      <w:autoSpaceDE/>
      <w:autoSpaceDN/>
      <w:adjustRightInd/>
      <w:spacing w:after="100" w:line="276" w:lineRule="auto"/>
      <w:ind w:left="440"/>
      <w:textAlignment w:val="auto"/>
    </w:pPr>
    <w:rPr>
      <w:rFonts w:ascii="Calibri" w:eastAsia="Calibri" w:hAnsi="Calibri"/>
      <w:sz w:val="22"/>
      <w:szCs w:val="22"/>
      <w:lang w:val="en-GB"/>
    </w:rPr>
  </w:style>
  <w:style w:type="table" w:styleId="LightShading-Accent2">
    <w:name w:val="Light Shading Accent 2"/>
    <w:basedOn w:val="TableNormal"/>
    <w:uiPriority w:val="60"/>
    <w:rsid w:val="00EF3D98"/>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Bullet">
    <w:name w:val="Bullet"/>
    <w:basedOn w:val="NoList"/>
    <w:uiPriority w:val="99"/>
    <w:rsid w:val="00EF3D98"/>
    <w:pPr>
      <w:numPr>
        <w:numId w:val="3"/>
      </w:numPr>
    </w:pPr>
  </w:style>
  <w:style w:type="character" w:styleId="FollowedHyperlink">
    <w:name w:val="FollowedHyperlink"/>
    <w:uiPriority w:val="99"/>
    <w:unhideWhenUsed/>
    <w:rsid w:val="00EF3D98"/>
    <w:rPr>
      <w:color w:val="800080"/>
      <w:u w:val="single"/>
    </w:rPr>
  </w:style>
  <w:style w:type="paragraph" w:styleId="FootnoteText">
    <w:name w:val="footnote text"/>
    <w:basedOn w:val="Normal"/>
    <w:link w:val="FootnoteTextChar"/>
    <w:uiPriority w:val="99"/>
    <w:unhideWhenUsed/>
    <w:rsid w:val="00EF3D98"/>
    <w:pPr>
      <w:overflowPunct/>
      <w:autoSpaceDE/>
      <w:autoSpaceDN/>
      <w:adjustRightInd/>
      <w:textAlignment w:val="auto"/>
    </w:pPr>
    <w:rPr>
      <w:rFonts w:ascii="Calibri" w:eastAsia="Calibri" w:hAnsi="Calibri"/>
      <w:sz w:val="20"/>
      <w:lang w:val="en-GB"/>
    </w:rPr>
  </w:style>
  <w:style w:type="character" w:customStyle="1" w:styleId="FootnoteTextChar">
    <w:name w:val="Footnote Text Char"/>
    <w:link w:val="FootnoteText"/>
    <w:uiPriority w:val="99"/>
    <w:rsid w:val="00EF3D98"/>
    <w:rPr>
      <w:rFonts w:ascii="Calibri" w:eastAsia="Calibri" w:hAnsi="Calibri"/>
      <w:lang w:eastAsia="en-US"/>
    </w:rPr>
  </w:style>
  <w:style w:type="character" w:styleId="FootnoteReference">
    <w:name w:val="footnote reference"/>
    <w:uiPriority w:val="99"/>
    <w:unhideWhenUsed/>
    <w:rsid w:val="00EF3D98"/>
    <w:rPr>
      <w:vertAlign w:val="superscript"/>
    </w:rPr>
  </w:style>
  <w:style w:type="paragraph" w:customStyle="1" w:styleId="Pa1">
    <w:name w:val="Pa1"/>
    <w:basedOn w:val="Normal"/>
    <w:next w:val="Normal"/>
    <w:uiPriority w:val="99"/>
    <w:rsid w:val="00EF3D98"/>
    <w:pPr>
      <w:overflowPunct/>
      <w:spacing w:line="241" w:lineRule="atLeast"/>
      <w:textAlignment w:val="auto"/>
    </w:pPr>
    <w:rPr>
      <w:rFonts w:ascii="Syntax" w:eastAsia="Calibri" w:hAnsi="Syntax"/>
      <w:szCs w:val="24"/>
      <w:lang w:val="en-GB"/>
    </w:rPr>
  </w:style>
  <w:style w:type="paragraph" w:styleId="NormalWeb">
    <w:name w:val="Normal (Web)"/>
    <w:basedOn w:val="Normal"/>
    <w:unhideWhenUsed/>
    <w:rsid w:val="00EF3D98"/>
    <w:pPr>
      <w:overflowPunct/>
      <w:autoSpaceDE/>
      <w:autoSpaceDN/>
      <w:adjustRightInd/>
      <w:spacing w:before="100" w:beforeAutospacing="1" w:after="100" w:afterAutospacing="1"/>
      <w:textAlignment w:val="auto"/>
    </w:pPr>
    <w:rPr>
      <w:rFonts w:ascii="Times New Roman" w:hAnsi="Times New Roman"/>
      <w:szCs w:val="24"/>
      <w:lang w:val="en-GB" w:eastAsia="en-GB"/>
    </w:rPr>
  </w:style>
  <w:style w:type="character" w:styleId="Emphasis">
    <w:name w:val="Emphasis"/>
    <w:qFormat/>
    <w:rsid w:val="00EF3D98"/>
    <w:rPr>
      <w:i/>
      <w:iCs/>
    </w:rPr>
  </w:style>
  <w:style w:type="paragraph" w:customStyle="1" w:styleId="Level1">
    <w:name w:val="Level 1"/>
    <w:basedOn w:val="Normal"/>
    <w:rsid w:val="00E1797B"/>
    <w:pPr>
      <w:keepNext/>
      <w:numPr>
        <w:numId w:val="1"/>
      </w:numPr>
      <w:overflowPunct/>
      <w:autoSpaceDE/>
      <w:autoSpaceDN/>
      <w:adjustRightInd/>
      <w:spacing w:before="240" w:after="120"/>
      <w:textAlignment w:val="auto"/>
      <w:outlineLvl w:val="0"/>
    </w:pPr>
    <w:rPr>
      <w:rFonts w:cs="Arial"/>
      <w:b/>
      <w:caps/>
      <w:szCs w:val="24"/>
      <w:lang w:val="en-GB"/>
    </w:rPr>
  </w:style>
  <w:style w:type="paragraph" w:customStyle="1" w:styleId="PHESecondaryheading">
    <w:name w:val="PHE Secondary heading"/>
    <w:basedOn w:val="Normal"/>
    <w:rsid w:val="0083566B"/>
    <w:pPr>
      <w:overflowPunct/>
      <w:autoSpaceDE/>
      <w:autoSpaceDN/>
      <w:adjustRightInd/>
      <w:spacing w:after="240" w:line="660" w:lineRule="exact"/>
      <w:ind w:right="794"/>
      <w:textAlignment w:val="auto"/>
      <w:outlineLvl w:val="0"/>
    </w:pPr>
    <w:rPr>
      <w:rFonts w:cs="Arial"/>
      <w:color w:val="98002E"/>
      <w:sz w:val="28"/>
      <w:szCs w:val="48"/>
      <w:lang w:val="en-GB"/>
    </w:rPr>
  </w:style>
  <w:style w:type="character" w:styleId="CommentReference">
    <w:name w:val="annotation reference"/>
    <w:basedOn w:val="DefaultParagraphFont"/>
    <w:rsid w:val="009F5424"/>
    <w:rPr>
      <w:sz w:val="16"/>
      <w:szCs w:val="16"/>
    </w:rPr>
  </w:style>
  <w:style w:type="paragraph" w:styleId="CommentText">
    <w:name w:val="annotation text"/>
    <w:basedOn w:val="Normal"/>
    <w:link w:val="CommentTextChar"/>
    <w:rsid w:val="009F5424"/>
    <w:rPr>
      <w:sz w:val="20"/>
    </w:rPr>
  </w:style>
  <w:style w:type="character" w:customStyle="1" w:styleId="CommentTextChar">
    <w:name w:val="Comment Text Char"/>
    <w:basedOn w:val="DefaultParagraphFont"/>
    <w:link w:val="CommentText"/>
    <w:rsid w:val="009F5424"/>
    <w:rPr>
      <w:rFonts w:ascii="Arial" w:hAnsi="Arial"/>
      <w:lang w:val="en-US" w:eastAsia="en-US"/>
    </w:rPr>
  </w:style>
  <w:style w:type="paragraph" w:styleId="CommentSubject">
    <w:name w:val="annotation subject"/>
    <w:basedOn w:val="CommentText"/>
    <w:next w:val="CommentText"/>
    <w:link w:val="CommentSubjectChar"/>
    <w:rsid w:val="009F5424"/>
    <w:rPr>
      <w:b/>
      <w:bCs/>
    </w:rPr>
  </w:style>
  <w:style w:type="character" w:customStyle="1" w:styleId="CommentSubjectChar">
    <w:name w:val="Comment Subject Char"/>
    <w:basedOn w:val="CommentTextChar"/>
    <w:link w:val="CommentSubject"/>
    <w:rsid w:val="009F5424"/>
    <w:rPr>
      <w:rFonts w:ascii="Arial" w:hAnsi="Arial"/>
      <w:b/>
      <w:bCs/>
      <w:lang w:val="en-US" w:eastAsia="en-US"/>
    </w:rPr>
  </w:style>
  <w:style w:type="paragraph" w:customStyle="1" w:styleId="PHEBodycopy">
    <w:name w:val="PHE Body copy"/>
    <w:basedOn w:val="Normal"/>
    <w:qFormat/>
    <w:rsid w:val="00E1396E"/>
    <w:pPr>
      <w:overflowPunct/>
      <w:autoSpaceDE/>
      <w:autoSpaceDN/>
      <w:adjustRightInd/>
      <w:spacing w:line="320" w:lineRule="exact"/>
      <w:textAlignment w:val="auto"/>
    </w:pPr>
    <w:rPr>
      <w:rFonts w:eastAsia="Calibri" w:cs="Arial"/>
      <w:lang w:val="en-GB" w:eastAsia="en-GB"/>
    </w:rPr>
  </w:style>
  <w:style w:type="paragraph" w:customStyle="1" w:styleId="Default">
    <w:name w:val="Default"/>
    <w:rsid w:val="0090186A"/>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540611">
      <w:bodyDiv w:val="1"/>
      <w:marLeft w:val="0"/>
      <w:marRight w:val="0"/>
      <w:marTop w:val="0"/>
      <w:marBottom w:val="0"/>
      <w:divBdr>
        <w:top w:val="none" w:sz="0" w:space="0" w:color="auto"/>
        <w:left w:val="none" w:sz="0" w:space="0" w:color="auto"/>
        <w:bottom w:val="none" w:sz="0" w:space="0" w:color="auto"/>
        <w:right w:val="none" w:sz="0" w:space="0" w:color="auto"/>
      </w:divBdr>
    </w:div>
    <w:div w:id="191841591">
      <w:bodyDiv w:val="1"/>
      <w:marLeft w:val="0"/>
      <w:marRight w:val="0"/>
      <w:marTop w:val="0"/>
      <w:marBottom w:val="0"/>
      <w:divBdr>
        <w:top w:val="none" w:sz="0" w:space="0" w:color="auto"/>
        <w:left w:val="none" w:sz="0" w:space="0" w:color="auto"/>
        <w:bottom w:val="none" w:sz="0" w:space="0" w:color="auto"/>
        <w:right w:val="none" w:sz="0" w:space="0" w:color="auto"/>
      </w:divBdr>
    </w:div>
    <w:div w:id="260384488">
      <w:bodyDiv w:val="1"/>
      <w:marLeft w:val="0"/>
      <w:marRight w:val="0"/>
      <w:marTop w:val="0"/>
      <w:marBottom w:val="0"/>
      <w:divBdr>
        <w:top w:val="none" w:sz="0" w:space="0" w:color="auto"/>
        <w:left w:val="none" w:sz="0" w:space="0" w:color="auto"/>
        <w:bottom w:val="none" w:sz="0" w:space="0" w:color="auto"/>
        <w:right w:val="none" w:sz="0" w:space="0" w:color="auto"/>
      </w:divBdr>
    </w:div>
    <w:div w:id="312607283">
      <w:bodyDiv w:val="1"/>
      <w:marLeft w:val="0"/>
      <w:marRight w:val="0"/>
      <w:marTop w:val="0"/>
      <w:marBottom w:val="0"/>
      <w:divBdr>
        <w:top w:val="none" w:sz="0" w:space="0" w:color="auto"/>
        <w:left w:val="none" w:sz="0" w:space="0" w:color="auto"/>
        <w:bottom w:val="none" w:sz="0" w:space="0" w:color="auto"/>
        <w:right w:val="none" w:sz="0" w:space="0" w:color="auto"/>
      </w:divBdr>
    </w:div>
    <w:div w:id="513571048">
      <w:bodyDiv w:val="1"/>
      <w:marLeft w:val="0"/>
      <w:marRight w:val="0"/>
      <w:marTop w:val="0"/>
      <w:marBottom w:val="0"/>
      <w:divBdr>
        <w:top w:val="none" w:sz="0" w:space="0" w:color="auto"/>
        <w:left w:val="none" w:sz="0" w:space="0" w:color="auto"/>
        <w:bottom w:val="none" w:sz="0" w:space="0" w:color="auto"/>
        <w:right w:val="none" w:sz="0" w:space="0" w:color="auto"/>
      </w:divBdr>
    </w:div>
    <w:div w:id="646711941">
      <w:bodyDiv w:val="1"/>
      <w:marLeft w:val="0"/>
      <w:marRight w:val="0"/>
      <w:marTop w:val="0"/>
      <w:marBottom w:val="0"/>
      <w:divBdr>
        <w:top w:val="none" w:sz="0" w:space="0" w:color="auto"/>
        <w:left w:val="none" w:sz="0" w:space="0" w:color="auto"/>
        <w:bottom w:val="none" w:sz="0" w:space="0" w:color="auto"/>
        <w:right w:val="none" w:sz="0" w:space="0" w:color="auto"/>
      </w:divBdr>
    </w:div>
    <w:div w:id="649289943">
      <w:bodyDiv w:val="1"/>
      <w:marLeft w:val="0"/>
      <w:marRight w:val="0"/>
      <w:marTop w:val="0"/>
      <w:marBottom w:val="0"/>
      <w:divBdr>
        <w:top w:val="none" w:sz="0" w:space="0" w:color="auto"/>
        <w:left w:val="none" w:sz="0" w:space="0" w:color="auto"/>
        <w:bottom w:val="none" w:sz="0" w:space="0" w:color="auto"/>
        <w:right w:val="none" w:sz="0" w:space="0" w:color="auto"/>
      </w:divBdr>
    </w:div>
    <w:div w:id="936402016">
      <w:bodyDiv w:val="1"/>
      <w:marLeft w:val="0"/>
      <w:marRight w:val="0"/>
      <w:marTop w:val="0"/>
      <w:marBottom w:val="0"/>
      <w:divBdr>
        <w:top w:val="none" w:sz="0" w:space="0" w:color="auto"/>
        <w:left w:val="none" w:sz="0" w:space="0" w:color="auto"/>
        <w:bottom w:val="none" w:sz="0" w:space="0" w:color="auto"/>
        <w:right w:val="none" w:sz="0" w:space="0" w:color="auto"/>
      </w:divBdr>
    </w:div>
    <w:div w:id="1115559203">
      <w:bodyDiv w:val="1"/>
      <w:marLeft w:val="0"/>
      <w:marRight w:val="0"/>
      <w:marTop w:val="0"/>
      <w:marBottom w:val="0"/>
      <w:divBdr>
        <w:top w:val="none" w:sz="0" w:space="0" w:color="auto"/>
        <w:left w:val="none" w:sz="0" w:space="0" w:color="auto"/>
        <w:bottom w:val="none" w:sz="0" w:space="0" w:color="auto"/>
        <w:right w:val="none" w:sz="0" w:space="0" w:color="auto"/>
      </w:divBdr>
    </w:div>
    <w:div w:id="1212770181">
      <w:bodyDiv w:val="1"/>
      <w:marLeft w:val="0"/>
      <w:marRight w:val="0"/>
      <w:marTop w:val="0"/>
      <w:marBottom w:val="0"/>
      <w:divBdr>
        <w:top w:val="none" w:sz="0" w:space="0" w:color="auto"/>
        <w:left w:val="none" w:sz="0" w:space="0" w:color="auto"/>
        <w:bottom w:val="none" w:sz="0" w:space="0" w:color="auto"/>
        <w:right w:val="none" w:sz="0" w:space="0" w:color="auto"/>
      </w:divBdr>
    </w:div>
    <w:div w:id="1478110440">
      <w:bodyDiv w:val="1"/>
      <w:marLeft w:val="0"/>
      <w:marRight w:val="0"/>
      <w:marTop w:val="0"/>
      <w:marBottom w:val="0"/>
      <w:divBdr>
        <w:top w:val="none" w:sz="0" w:space="0" w:color="auto"/>
        <w:left w:val="none" w:sz="0" w:space="0" w:color="auto"/>
        <w:bottom w:val="none" w:sz="0" w:space="0" w:color="auto"/>
        <w:right w:val="none" w:sz="0" w:space="0" w:color="auto"/>
      </w:divBdr>
    </w:div>
    <w:div w:id="1493789687">
      <w:bodyDiv w:val="1"/>
      <w:marLeft w:val="0"/>
      <w:marRight w:val="0"/>
      <w:marTop w:val="0"/>
      <w:marBottom w:val="0"/>
      <w:divBdr>
        <w:top w:val="none" w:sz="0" w:space="0" w:color="auto"/>
        <w:left w:val="none" w:sz="0" w:space="0" w:color="auto"/>
        <w:bottom w:val="none" w:sz="0" w:space="0" w:color="auto"/>
        <w:right w:val="none" w:sz="0" w:space="0" w:color="auto"/>
      </w:divBdr>
    </w:div>
    <w:div w:id="1579247007">
      <w:bodyDiv w:val="1"/>
      <w:marLeft w:val="0"/>
      <w:marRight w:val="0"/>
      <w:marTop w:val="0"/>
      <w:marBottom w:val="0"/>
      <w:divBdr>
        <w:top w:val="none" w:sz="0" w:space="0" w:color="auto"/>
        <w:left w:val="none" w:sz="0" w:space="0" w:color="auto"/>
        <w:bottom w:val="none" w:sz="0" w:space="0" w:color="auto"/>
        <w:right w:val="none" w:sz="0" w:space="0" w:color="auto"/>
      </w:divBdr>
    </w:div>
    <w:div w:id="1590962612">
      <w:bodyDiv w:val="1"/>
      <w:marLeft w:val="0"/>
      <w:marRight w:val="0"/>
      <w:marTop w:val="0"/>
      <w:marBottom w:val="0"/>
      <w:divBdr>
        <w:top w:val="none" w:sz="0" w:space="0" w:color="auto"/>
        <w:left w:val="none" w:sz="0" w:space="0" w:color="auto"/>
        <w:bottom w:val="none" w:sz="0" w:space="0" w:color="auto"/>
        <w:right w:val="none" w:sz="0" w:space="0" w:color="auto"/>
      </w:divBdr>
    </w:div>
    <w:div w:id="1746294234">
      <w:bodyDiv w:val="1"/>
      <w:marLeft w:val="0"/>
      <w:marRight w:val="0"/>
      <w:marTop w:val="0"/>
      <w:marBottom w:val="0"/>
      <w:divBdr>
        <w:top w:val="none" w:sz="0" w:space="0" w:color="auto"/>
        <w:left w:val="none" w:sz="0" w:space="0" w:color="auto"/>
        <w:bottom w:val="none" w:sz="0" w:space="0" w:color="auto"/>
        <w:right w:val="none" w:sz="0" w:space="0" w:color="auto"/>
      </w:divBdr>
    </w:div>
    <w:div w:id="1750231039">
      <w:bodyDiv w:val="1"/>
      <w:marLeft w:val="0"/>
      <w:marRight w:val="0"/>
      <w:marTop w:val="0"/>
      <w:marBottom w:val="0"/>
      <w:divBdr>
        <w:top w:val="none" w:sz="0" w:space="0" w:color="auto"/>
        <w:left w:val="none" w:sz="0" w:space="0" w:color="auto"/>
        <w:bottom w:val="none" w:sz="0" w:space="0" w:color="auto"/>
        <w:right w:val="none" w:sz="0" w:space="0" w:color="auto"/>
      </w:divBdr>
    </w:div>
    <w:div w:id="1961574292">
      <w:bodyDiv w:val="1"/>
      <w:marLeft w:val="0"/>
      <w:marRight w:val="0"/>
      <w:marTop w:val="0"/>
      <w:marBottom w:val="0"/>
      <w:divBdr>
        <w:top w:val="none" w:sz="0" w:space="0" w:color="auto"/>
        <w:left w:val="none" w:sz="0" w:space="0" w:color="auto"/>
        <w:bottom w:val="none" w:sz="0" w:space="0" w:color="auto"/>
        <w:right w:val="none" w:sz="0" w:space="0" w:color="auto"/>
      </w:divBdr>
    </w:div>
    <w:div w:id="2002542191">
      <w:bodyDiv w:val="1"/>
      <w:marLeft w:val="0"/>
      <w:marRight w:val="0"/>
      <w:marTop w:val="0"/>
      <w:marBottom w:val="0"/>
      <w:divBdr>
        <w:top w:val="none" w:sz="0" w:space="0" w:color="auto"/>
        <w:left w:val="none" w:sz="0" w:space="0" w:color="auto"/>
        <w:bottom w:val="none" w:sz="0" w:space="0" w:color="auto"/>
        <w:right w:val="none" w:sz="0" w:space="0" w:color="auto"/>
      </w:divBdr>
    </w:div>
    <w:div w:id="2066561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png"/><Relationship Id="rId10" Type="http://schemas.openxmlformats.org/officeDocument/2006/relationships/header" Target="head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3.emf"/><Relationship Id="rId22" Type="http://schemas.openxmlformats.org/officeDocument/2006/relationships/image" Target="media/image10.png"/></Relationships>
</file>

<file path=word/_rels/footnotes.xml.rels><?xml version="1.0" encoding="UTF-8" standalone="yes"?>
<Relationships xmlns="http://schemas.openxmlformats.org/package/2006/relationships"><Relationship Id="rId3" Type="http://schemas.openxmlformats.org/officeDocument/2006/relationships/hyperlink" Target="https://www.nice.org.uk/about/what-we-do/into-practice/return-on-investment-tools/tobacco-return-on-investment-tool" TargetMode="External"/><Relationship Id="rId2" Type="http://schemas.openxmlformats.org/officeDocument/2006/relationships/hyperlink" Target="https://www.gov.uk/government/uploads/system/uploads/attachment_data/file/499614/PH_allocations_and_conditions_2016-17_A.pdf" TargetMode="External"/><Relationship Id="rId1" Type="http://schemas.openxmlformats.org/officeDocument/2006/relationships/hyperlink" Target="https://www.gov.uk/government/uploads/system/uploads/attachment_data/file/127045/Public-health-role-of-local-authorities-factsheet.pdf.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oncaster.gov.uk\DMBC\PH_Consultant\DMBC%20FOLDER_VJ\Current%20shared%20files\Smoking\Policy\ASH%20policy\Copy%20of%20ASH%20Ready%20Reckoner.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GB">
                <a:solidFill>
                  <a:schemeClr val="tx1"/>
                </a:solidFill>
              </a:rPr>
              <a:t>Estimated cost of smoking in Doncaster (£millions)</a:t>
            </a:r>
          </a:p>
        </c:rich>
      </c:tx>
      <c:overlay val="0"/>
      <c:spPr>
        <a:noFill/>
        <a:ln w="25400">
          <a:noFill/>
        </a:ln>
      </c:spPr>
    </c:title>
    <c:autoTitleDeleted val="0"/>
    <c:plotArea>
      <c:layout>
        <c:manualLayout>
          <c:layoutTarget val="inner"/>
          <c:xMode val="edge"/>
          <c:yMode val="edge"/>
          <c:x val="0.3051104549431321"/>
          <c:y val="0.11093061182886113"/>
          <c:w val="0.66808898887639045"/>
          <c:h val="0.74824682108911211"/>
        </c:manualLayout>
      </c:layout>
      <c:barChart>
        <c:barDir val="bar"/>
        <c:grouping val="clustered"/>
        <c:varyColors val="0"/>
        <c:ser>
          <c:idx val="0"/>
          <c:order val="0"/>
          <c:tx>
            <c:strRef>
              <c:f>Charts!$D$26</c:f>
              <c:strCache>
                <c:ptCount val="1"/>
                <c:pt idx="0">
                  <c:v>Doncaster</c:v>
                </c:pt>
              </c:strCache>
            </c:strRef>
          </c:tx>
          <c:spPr>
            <a:solidFill>
              <a:schemeClr val="accent2">
                <a:lumMod val="40000"/>
                <a:lumOff val="60000"/>
              </a:schemeClr>
            </a:solidFill>
            <a:ln w="9525">
              <a:solidFill>
                <a:schemeClr val="tx1"/>
              </a:solidFill>
            </a:ln>
          </c:spPr>
          <c:invertIfNegative val="0"/>
          <c:dLbls>
            <c:dLbl>
              <c:idx val="0"/>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dLbl>
            <c:dLbl>
              <c:idx val="1"/>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dLbl>
            <c:dLbl>
              <c:idx val="2"/>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dLbl>
            <c:dLbl>
              <c:idx val="3"/>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dLbl>
            <c:dLbl>
              <c:idx val="4"/>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dLbl>
            <c:dLbl>
              <c:idx val="5"/>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dLbl>
            <c:dLbl>
              <c:idx val="6"/>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dLbl>
            <c:spPr>
              <a:noFill/>
              <a:ln w="25400">
                <a:noFill/>
              </a:ln>
            </c:spPr>
            <c:showLegendKey val="0"/>
            <c:showVal val="1"/>
            <c:showCatName val="0"/>
            <c:showSerName val="0"/>
            <c:showPercent val="0"/>
            <c:showBubbleSize val="0"/>
            <c:showLeaderLines val="0"/>
          </c:dLbls>
          <c:cat>
            <c:strRef>
              <c:f>Charts!$C$27:$C$33</c:f>
              <c:strCache>
                <c:ptCount val="7"/>
                <c:pt idx="0">
                  <c:v>Passive smoking</c:v>
                </c:pt>
                <c:pt idx="1">
                  <c:v>Smoking-related fires</c:v>
                </c:pt>
                <c:pt idx="2">
                  <c:v>Lost productivity (sick days)</c:v>
                </c:pt>
                <c:pt idx="3">
                  <c:v>Smoking-related social care</c:v>
                </c:pt>
                <c:pt idx="4">
                  <c:v>Smoking-related disease (NHS)</c:v>
                </c:pt>
                <c:pt idx="5">
                  <c:v>Lost productivity (early deaths)</c:v>
                </c:pt>
                <c:pt idx="6">
                  <c:v>Lost productivity (smoking breaks)</c:v>
                </c:pt>
              </c:strCache>
            </c:strRef>
          </c:cat>
          <c:val>
            <c:numRef>
              <c:f>Charts!$D$27:$D$33</c:f>
              <c:numCache>
                <c:formatCode>"£"#,##0.00</c:formatCode>
                <c:ptCount val="7"/>
                <c:pt idx="0">
                  <c:v>0.78721420706376466</c:v>
                </c:pt>
                <c:pt idx="1">
                  <c:v>1.2470414601921778</c:v>
                </c:pt>
                <c:pt idx="2">
                  <c:v>6.3462555439999999</c:v>
                </c:pt>
                <c:pt idx="3">
                  <c:v>7.3635408761209993</c:v>
                </c:pt>
                <c:pt idx="4">
                  <c:v>14.23188532</c:v>
                </c:pt>
                <c:pt idx="5">
                  <c:v>26.824155531383404</c:v>
                </c:pt>
                <c:pt idx="6">
                  <c:v>39.71822761785598</c:v>
                </c:pt>
              </c:numCache>
            </c:numRef>
          </c:val>
        </c:ser>
        <c:dLbls>
          <c:showLegendKey val="0"/>
          <c:showVal val="0"/>
          <c:showCatName val="0"/>
          <c:showSerName val="0"/>
          <c:showPercent val="0"/>
          <c:showBubbleSize val="0"/>
        </c:dLbls>
        <c:gapWidth val="43"/>
        <c:axId val="76146176"/>
        <c:axId val="76147712"/>
      </c:barChart>
      <c:catAx>
        <c:axId val="76146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6147712"/>
        <c:crosses val="autoZero"/>
        <c:auto val="1"/>
        <c:lblAlgn val="ctr"/>
        <c:lblOffset val="100"/>
        <c:noMultiLvlLbl val="0"/>
      </c:catAx>
      <c:valAx>
        <c:axId val="76147712"/>
        <c:scaling>
          <c:orientation val="minMax"/>
        </c:scaling>
        <c:delete val="0"/>
        <c:axPos val="b"/>
        <c:majorGridlines>
          <c:spPr>
            <a:ln w="9525" cap="flat" cmpd="sng" algn="ctr">
              <a:solidFill>
                <a:schemeClr val="bg1">
                  <a:lumMod val="50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GB">
                    <a:solidFill>
                      <a:schemeClr val="tx1"/>
                    </a:solidFill>
                  </a:rPr>
                  <a:t>Cost to society (£millions)</a:t>
                </a:r>
              </a:p>
            </c:rich>
          </c:tx>
          <c:layout>
            <c:manualLayout>
              <c:xMode val="edge"/>
              <c:yMode val="edge"/>
              <c:x val="0.47059344419008331"/>
              <c:y val="0.93031011900211502"/>
            </c:manualLayout>
          </c:layout>
          <c:overlay val="0"/>
          <c:spPr>
            <a:noFill/>
            <a:ln w="25400">
              <a:noFill/>
            </a:ln>
          </c:spPr>
        </c:title>
        <c:numFmt formatCode="\£#,##0.0" sourceLinked="0"/>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614617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1CA3F-6F23-4231-939B-82B73606B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10024</Words>
  <Characters>57142</Characters>
  <Application>Microsoft Office Word</Application>
  <DocSecurity>4</DocSecurity>
  <Lines>476</Lines>
  <Paragraphs>134</Paragraphs>
  <ScaleCrop>false</ScaleCrop>
  <HeadingPairs>
    <vt:vector size="2" baseType="variant">
      <vt:variant>
        <vt:lpstr>Title</vt:lpstr>
      </vt:variant>
      <vt:variant>
        <vt:i4>1</vt:i4>
      </vt:variant>
    </vt:vector>
  </HeadingPairs>
  <TitlesOfParts>
    <vt:vector size="1" baseType="lpstr">
      <vt:lpstr>2 Priory Place, Doncaster, DN1 1BN_</vt:lpstr>
    </vt:vector>
  </TitlesOfParts>
  <Company>DMBC</Company>
  <LinksUpToDate>false</LinksUpToDate>
  <CharactersWithSpaces>67032</CharactersWithSpaces>
  <SharedDoc>false</SharedDoc>
  <HLinks>
    <vt:vector size="156" baseType="variant">
      <vt:variant>
        <vt:i4>1835062</vt:i4>
      </vt:variant>
      <vt:variant>
        <vt:i4>146</vt:i4>
      </vt:variant>
      <vt:variant>
        <vt:i4>0</vt:i4>
      </vt:variant>
      <vt:variant>
        <vt:i4>5</vt:i4>
      </vt:variant>
      <vt:variant>
        <vt:lpwstr/>
      </vt:variant>
      <vt:variant>
        <vt:lpwstr>_Toc380411464</vt:lpwstr>
      </vt:variant>
      <vt:variant>
        <vt:i4>1835062</vt:i4>
      </vt:variant>
      <vt:variant>
        <vt:i4>140</vt:i4>
      </vt:variant>
      <vt:variant>
        <vt:i4>0</vt:i4>
      </vt:variant>
      <vt:variant>
        <vt:i4>5</vt:i4>
      </vt:variant>
      <vt:variant>
        <vt:lpwstr/>
      </vt:variant>
      <vt:variant>
        <vt:lpwstr>_Toc380411463</vt:lpwstr>
      </vt:variant>
      <vt:variant>
        <vt:i4>1835062</vt:i4>
      </vt:variant>
      <vt:variant>
        <vt:i4>134</vt:i4>
      </vt:variant>
      <vt:variant>
        <vt:i4>0</vt:i4>
      </vt:variant>
      <vt:variant>
        <vt:i4>5</vt:i4>
      </vt:variant>
      <vt:variant>
        <vt:lpwstr/>
      </vt:variant>
      <vt:variant>
        <vt:lpwstr>_Toc380411462</vt:lpwstr>
      </vt:variant>
      <vt:variant>
        <vt:i4>1835062</vt:i4>
      </vt:variant>
      <vt:variant>
        <vt:i4>128</vt:i4>
      </vt:variant>
      <vt:variant>
        <vt:i4>0</vt:i4>
      </vt:variant>
      <vt:variant>
        <vt:i4>5</vt:i4>
      </vt:variant>
      <vt:variant>
        <vt:lpwstr/>
      </vt:variant>
      <vt:variant>
        <vt:lpwstr>_Toc380411461</vt:lpwstr>
      </vt:variant>
      <vt:variant>
        <vt:i4>1835062</vt:i4>
      </vt:variant>
      <vt:variant>
        <vt:i4>122</vt:i4>
      </vt:variant>
      <vt:variant>
        <vt:i4>0</vt:i4>
      </vt:variant>
      <vt:variant>
        <vt:i4>5</vt:i4>
      </vt:variant>
      <vt:variant>
        <vt:lpwstr/>
      </vt:variant>
      <vt:variant>
        <vt:lpwstr>_Toc380411460</vt:lpwstr>
      </vt:variant>
      <vt:variant>
        <vt:i4>2031670</vt:i4>
      </vt:variant>
      <vt:variant>
        <vt:i4>116</vt:i4>
      </vt:variant>
      <vt:variant>
        <vt:i4>0</vt:i4>
      </vt:variant>
      <vt:variant>
        <vt:i4>5</vt:i4>
      </vt:variant>
      <vt:variant>
        <vt:lpwstr/>
      </vt:variant>
      <vt:variant>
        <vt:lpwstr>_Toc380411459</vt:lpwstr>
      </vt:variant>
      <vt:variant>
        <vt:i4>2031670</vt:i4>
      </vt:variant>
      <vt:variant>
        <vt:i4>110</vt:i4>
      </vt:variant>
      <vt:variant>
        <vt:i4>0</vt:i4>
      </vt:variant>
      <vt:variant>
        <vt:i4>5</vt:i4>
      </vt:variant>
      <vt:variant>
        <vt:lpwstr/>
      </vt:variant>
      <vt:variant>
        <vt:lpwstr>_Toc380411458</vt:lpwstr>
      </vt:variant>
      <vt:variant>
        <vt:i4>2031670</vt:i4>
      </vt:variant>
      <vt:variant>
        <vt:i4>104</vt:i4>
      </vt:variant>
      <vt:variant>
        <vt:i4>0</vt:i4>
      </vt:variant>
      <vt:variant>
        <vt:i4>5</vt:i4>
      </vt:variant>
      <vt:variant>
        <vt:lpwstr/>
      </vt:variant>
      <vt:variant>
        <vt:lpwstr>_Toc380411457</vt:lpwstr>
      </vt:variant>
      <vt:variant>
        <vt:i4>2031670</vt:i4>
      </vt:variant>
      <vt:variant>
        <vt:i4>98</vt:i4>
      </vt:variant>
      <vt:variant>
        <vt:i4>0</vt:i4>
      </vt:variant>
      <vt:variant>
        <vt:i4>5</vt:i4>
      </vt:variant>
      <vt:variant>
        <vt:lpwstr/>
      </vt:variant>
      <vt:variant>
        <vt:lpwstr>_Toc380411456</vt:lpwstr>
      </vt:variant>
      <vt:variant>
        <vt:i4>2031670</vt:i4>
      </vt:variant>
      <vt:variant>
        <vt:i4>92</vt:i4>
      </vt:variant>
      <vt:variant>
        <vt:i4>0</vt:i4>
      </vt:variant>
      <vt:variant>
        <vt:i4>5</vt:i4>
      </vt:variant>
      <vt:variant>
        <vt:lpwstr/>
      </vt:variant>
      <vt:variant>
        <vt:lpwstr>_Toc380411455</vt:lpwstr>
      </vt:variant>
      <vt:variant>
        <vt:i4>2031670</vt:i4>
      </vt:variant>
      <vt:variant>
        <vt:i4>86</vt:i4>
      </vt:variant>
      <vt:variant>
        <vt:i4>0</vt:i4>
      </vt:variant>
      <vt:variant>
        <vt:i4>5</vt:i4>
      </vt:variant>
      <vt:variant>
        <vt:lpwstr/>
      </vt:variant>
      <vt:variant>
        <vt:lpwstr>_Toc380411454</vt:lpwstr>
      </vt:variant>
      <vt:variant>
        <vt:i4>2031670</vt:i4>
      </vt:variant>
      <vt:variant>
        <vt:i4>80</vt:i4>
      </vt:variant>
      <vt:variant>
        <vt:i4>0</vt:i4>
      </vt:variant>
      <vt:variant>
        <vt:i4>5</vt:i4>
      </vt:variant>
      <vt:variant>
        <vt:lpwstr/>
      </vt:variant>
      <vt:variant>
        <vt:lpwstr>_Toc380411453</vt:lpwstr>
      </vt:variant>
      <vt:variant>
        <vt:i4>2031670</vt:i4>
      </vt:variant>
      <vt:variant>
        <vt:i4>74</vt:i4>
      </vt:variant>
      <vt:variant>
        <vt:i4>0</vt:i4>
      </vt:variant>
      <vt:variant>
        <vt:i4>5</vt:i4>
      </vt:variant>
      <vt:variant>
        <vt:lpwstr/>
      </vt:variant>
      <vt:variant>
        <vt:lpwstr>_Toc380411452</vt:lpwstr>
      </vt:variant>
      <vt:variant>
        <vt:i4>2031670</vt:i4>
      </vt:variant>
      <vt:variant>
        <vt:i4>68</vt:i4>
      </vt:variant>
      <vt:variant>
        <vt:i4>0</vt:i4>
      </vt:variant>
      <vt:variant>
        <vt:i4>5</vt:i4>
      </vt:variant>
      <vt:variant>
        <vt:lpwstr/>
      </vt:variant>
      <vt:variant>
        <vt:lpwstr>_Toc380411451</vt:lpwstr>
      </vt:variant>
      <vt:variant>
        <vt:i4>2031670</vt:i4>
      </vt:variant>
      <vt:variant>
        <vt:i4>62</vt:i4>
      </vt:variant>
      <vt:variant>
        <vt:i4>0</vt:i4>
      </vt:variant>
      <vt:variant>
        <vt:i4>5</vt:i4>
      </vt:variant>
      <vt:variant>
        <vt:lpwstr/>
      </vt:variant>
      <vt:variant>
        <vt:lpwstr>_Toc380411450</vt:lpwstr>
      </vt:variant>
      <vt:variant>
        <vt:i4>1966134</vt:i4>
      </vt:variant>
      <vt:variant>
        <vt:i4>56</vt:i4>
      </vt:variant>
      <vt:variant>
        <vt:i4>0</vt:i4>
      </vt:variant>
      <vt:variant>
        <vt:i4>5</vt:i4>
      </vt:variant>
      <vt:variant>
        <vt:lpwstr/>
      </vt:variant>
      <vt:variant>
        <vt:lpwstr>_Toc380411449</vt:lpwstr>
      </vt:variant>
      <vt:variant>
        <vt:i4>1966134</vt:i4>
      </vt:variant>
      <vt:variant>
        <vt:i4>50</vt:i4>
      </vt:variant>
      <vt:variant>
        <vt:i4>0</vt:i4>
      </vt:variant>
      <vt:variant>
        <vt:i4>5</vt:i4>
      </vt:variant>
      <vt:variant>
        <vt:lpwstr/>
      </vt:variant>
      <vt:variant>
        <vt:lpwstr>_Toc380411448</vt:lpwstr>
      </vt:variant>
      <vt:variant>
        <vt:i4>1966134</vt:i4>
      </vt:variant>
      <vt:variant>
        <vt:i4>44</vt:i4>
      </vt:variant>
      <vt:variant>
        <vt:i4>0</vt:i4>
      </vt:variant>
      <vt:variant>
        <vt:i4>5</vt:i4>
      </vt:variant>
      <vt:variant>
        <vt:lpwstr/>
      </vt:variant>
      <vt:variant>
        <vt:lpwstr>_Toc380411447</vt:lpwstr>
      </vt:variant>
      <vt:variant>
        <vt:i4>1966134</vt:i4>
      </vt:variant>
      <vt:variant>
        <vt:i4>38</vt:i4>
      </vt:variant>
      <vt:variant>
        <vt:i4>0</vt:i4>
      </vt:variant>
      <vt:variant>
        <vt:i4>5</vt:i4>
      </vt:variant>
      <vt:variant>
        <vt:lpwstr/>
      </vt:variant>
      <vt:variant>
        <vt:lpwstr>_Toc380411446</vt:lpwstr>
      </vt:variant>
      <vt:variant>
        <vt:i4>1966134</vt:i4>
      </vt:variant>
      <vt:variant>
        <vt:i4>32</vt:i4>
      </vt:variant>
      <vt:variant>
        <vt:i4>0</vt:i4>
      </vt:variant>
      <vt:variant>
        <vt:i4>5</vt:i4>
      </vt:variant>
      <vt:variant>
        <vt:lpwstr/>
      </vt:variant>
      <vt:variant>
        <vt:lpwstr>_Toc380411445</vt:lpwstr>
      </vt:variant>
      <vt:variant>
        <vt:i4>1966134</vt:i4>
      </vt:variant>
      <vt:variant>
        <vt:i4>26</vt:i4>
      </vt:variant>
      <vt:variant>
        <vt:i4>0</vt:i4>
      </vt:variant>
      <vt:variant>
        <vt:i4>5</vt:i4>
      </vt:variant>
      <vt:variant>
        <vt:lpwstr/>
      </vt:variant>
      <vt:variant>
        <vt:lpwstr>_Toc380411444</vt:lpwstr>
      </vt:variant>
      <vt:variant>
        <vt:i4>1966134</vt:i4>
      </vt:variant>
      <vt:variant>
        <vt:i4>20</vt:i4>
      </vt:variant>
      <vt:variant>
        <vt:i4>0</vt:i4>
      </vt:variant>
      <vt:variant>
        <vt:i4>5</vt:i4>
      </vt:variant>
      <vt:variant>
        <vt:lpwstr/>
      </vt:variant>
      <vt:variant>
        <vt:lpwstr>_Toc380411443</vt:lpwstr>
      </vt:variant>
      <vt:variant>
        <vt:i4>1966134</vt:i4>
      </vt:variant>
      <vt:variant>
        <vt:i4>14</vt:i4>
      </vt:variant>
      <vt:variant>
        <vt:i4>0</vt:i4>
      </vt:variant>
      <vt:variant>
        <vt:i4>5</vt:i4>
      </vt:variant>
      <vt:variant>
        <vt:lpwstr/>
      </vt:variant>
      <vt:variant>
        <vt:lpwstr>_Toc380411442</vt:lpwstr>
      </vt:variant>
      <vt:variant>
        <vt:i4>1966134</vt:i4>
      </vt:variant>
      <vt:variant>
        <vt:i4>8</vt:i4>
      </vt:variant>
      <vt:variant>
        <vt:i4>0</vt:i4>
      </vt:variant>
      <vt:variant>
        <vt:i4>5</vt:i4>
      </vt:variant>
      <vt:variant>
        <vt:lpwstr/>
      </vt:variant>
      <vt:variant>
        <vt:lpwstr>_Toc380411441</vt:lpwstr>
      </vt:variant>
      <vt:variant>
        <vt:i4>1966134</vt:i4>
      </vt:variant>
      <vt:variant>
        <vt:i4>2</vt:i4>
      </vt:variant>
      <vt:variant>
        <vt:i4>0</vt:i4>
      </vt:variant>
      <vt:variant>
        <vt:i4>5</vt:i4>
      </vt:variant>
      <vt:variant>
        <vt:lpwstr/>
      </vt:variant>
      <vt:variant>
        <vt:lpwstr>_Toc380411440</vt:lpwstr>
      </vt:variant>
      <vt:variant>
        <vt:i4>4522019</vt:i4>
      </vt:variant>
      <vt:variant>
        <vt:i4>0</vt:i4>
      </vt:variant>
      <vt:variant>
        <vt:i4>0</vt:i4>
      </vt:variant>
      <vt:variant>
        <vt:i4>5</vt:i4>
      </vt:variant>
      <vt:variant>
        <vt:lpwstr>https://www.gov.uk/government/uploads/system/uploads/attachment_data/file/127045/Public-health-role-of-local-authorities-factsheet.pdf.pdf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Priory Place, Doncaster, DN1 1BN_</dc:title>
  <dc:creator>DMBC</dc:creator>
  <cp:lastModifiedBy>Ahmed, Nasar</cp:lastModifiedBy>
  <cp:revision>2</cp:revision>
  <cp:lastPrinted>2017-05-30T06:43:00Z</cp:lastPrinted>
  <dcterms:created xsi:type="dcterms:W3CDTF">2017-07-13T07:36:00Z</dcterms:created>
  <dcterms:modified xsi:type="dcterms:W3CDTF">2017-07-13T07:36:00Z</dcterms:modified>
</cp:coreProperties>
</file>